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40" w:before="0" w:line="276" w:lineRule="auto"/>
        <w:jc w:val="center"/>
      </w:pPr>
      <w:r>
        <w:rPr>
          <w:rFonts w:ascii="Arial" w:hAnsi="Arial" w:cs="Arial"/>
          <w:b/>
          <w:i w:val="0"/>
          <w:color w:val="1F3B63"/>
          <w:sz w:val="44"/>
          <w:rtl w:val="1"/>
        </w:rPr>
        <w:t>סיכום הסכמות ותנאי שירות</w:t>
      </w:r>
    </w:p>
    <w:p>
      <w:pPr>
        <w:bidi w:val="1"/>
        <w:spacing w:after="200" w:before="0" w:line="276" w:lineRule="auto"/>
        <w:jc w:val="center"/>
      </w:pPr>
      <w:r>
        <w:rPr>
          <w:rFonts w:ascii="Arial" w:hAnsi="Arial" w:cs="Arial"/>
          <w:b w:val="0"/>
          <w:i/>
          <w:color w:val="555555"/>
          <w:sz w:val="24"/>
          <w:rtl w:val="1"/>
        </w:rPr>
        <w:t>וייטנאם + קמבודיה  ·  17 יום  ·  13–29 בינואר 2027</w:t>
      </w:r>
    </w:p>
    <w:p>
      <w:pPr>
        <w:bidi w:val="1"/>
        <w:spacing w:after="120"/>
        <w:jc w:val="right"/>
        <w:pBdr>
          <w:bottom w:val="single" w:sz="8" w:space="1" w:color="1F3B63"/>
        </w:pBdr>
      </w:pPr>
    </w:p>
    <w:p>
      <w:pPr>
        <w:bidi w:val="1"/>
        <w:spacing w:after="80" w:before="0" w:line="276" w:lineRule="auto"/>
        <w:jc w:val="right"/>
      </w:pPr>
      <w:r>
        <w:rPr>
          <w:rFonts w:ascii="Arial" w:hAnsi="Arial" w:cs="Arial"/>
          <w:b w:val="0"/>
          <w:i/>
          <w:color w:val="A04A1E"/>
          <w:sz w:val="20"/>
          <w:rtl w:val="1"/>
        </w:rPr>
        <w:t>לפי סימון הספק בטבלת הרכיבים, 28/08/2026, ותשובותיו שקדמו לה</w:t>
      </w:r>
    </w:p>
    <w:p>
      <w:pPr>
        <w:bidi w:val="1"/>
        <w:spacing w:after="120"/>
        <w:jc w:val="right"/>
        <w:pBdr>
          <w:bottom w:val="single" w:sz="8" w:space="1" w:color="1F3B63"/>
        </w:pBdr>
      </w:pPr>
    </w:p>
    <w:tbl>
      <w:tblPr>
        <w:tblStyle w:val="TableGrid"/>
        <w:tblW w:type="auto" w:w="0"/>
        <w:jc w:val="right"/>
        <w:tblLook w:firstColumn="1" w:firstRow="1" w:lastColumn="0" w:lastRow="0" w:noHBand="0" w:noVBand="1" w:val="04A0"/>
        <w:bidiVisual/>
      </w:tblPr>
      <w:tblGrid>
        <w:gridCol w:w="5043"/>
        <w:gridCol w:w="5043"/>
      </w:tblGrid>
      <w:tr>
        <w:tc>
          <w:tcPr>
            <w:tcW w:type="dxa" w:w="1928"/>
            <w:shd w:val="clear" w:color="auto" w:fill="1F3B63"/>
          </w:tcPr>
          <w:p>
            <w:pPr>
              <w:bidi w:val="1"/>
              <w:spacing w:after="20" w:before="20"/>
              <w:jc w:val="right"/>
            </w:pPr>
            <w:r/>
            <w:r>
              <w:rPr>
                <w:rFonts w:ascii="Arial" w:hAnsi="Arial" w:cs="Arial"/>
                <w:b/>
                <w:i w:val="0"/>
                <w:color w:val="FFFFFF"/>
                <w:sz w:val="21"/>
                <w:rtl w:val="1"/>
              </w:rPr>
            </w:r>
          </w:p>
        </w:tc>
        <w:tc>
          <w:tcPr>
            <w:tcW w:type="dxa" w:w="7597"/>
            <w:shd w:val="clear" w:color="auto" w:fill="1F3B63"/>
          </w:tcPr>
          <w:p>
            <w:pPr>
              <w:bidi w:val="1"/>
              <w:spacing w:after="20" w:before="20"/>
              <w:jc w:val="right"/>
            </w:pPr>
            <w:r/>
            <w:r>
              <w:rPr>
                <w:rFonts w:ascii="Arial" w:hAnsi="Arial" w:cs="Arial"/>
                <w:b/>
                <w:i w:val="0"/>
                <w:color w:val="FFFFFF"/>
                <w:sz w:val="21"/>
                <w:rtl w:val="1"/>
              </w:rPr>
            </w:r>
          </w:p>
        </w:tc>
      </w:tr>
      <w:tr>
        <w:tc>
          <w:tcPr>
            <w:tcW w:type="dxa" w:w="1928"/>
            <w:shd w:val="clear" w:color="auto" w:fill="EEF2F8"/>
          </w:tcPr>
          <w:p>
            <w:pPr>
              <w:bidi w:val="1"/>
              <w:spacing w:after="20" w:before="20"/>
              <w:jc w:val="right"/>
            </w:pPr>
            <w:r/>
            <w:r>
              <w:rPr>
                <w:rFonts w:ascii="Arial" w:hAnsi="Arial" w:cs="Arial"/>
                <w:b/>
                <w:i w:val="0"/>
                <w:sz w:val="20"/>
                <w:rtl w:val="1"/>
              </w:rPr>
              <w:t>הספק</w:t>
            </w:r>
          </w:p>
        </w:tc>
        <w:tc>
          <w:tcPr>
            <w:tcW w:type="dxa" w:w="7597"/>
            <w:shd w:val="clear" w:color="auto" w:fill="EEF2F8"/>
          </w:tcPr>
          <w:p>
            <w:pPr>
              <w:bidi w:val="1"/>
              <w:spacing w:after="20" w:before="20"/>
              <w:jc w:val="right"/>
            </w:pPr>
            <w:r/>
            <w:r>
              <w:rPr>
                <w:rFonts w:ascii="Arial" w:hAnsi="Arial" w:cs="Arial"/>
                <w:b w:val="0"/>
                <w:i w:val="0"/>
                <w:sz w:val="20"/>
                <w:rtl w:val="1"/>
              </w:rPr>
              <w:t>Happy Susu Travel — Mr. TrinhXuan Su ("סוסו"), האנוי, וייטנאם. susuvn1980@gmail.com · +84 985 793 778</w:t>
            </w:r>
          </w:p>
        </w:tc>
      </w:tr>
      <w:tr>
        <w:tc>
          <w:tcPr>
            <w:tcW w:type="dxa" w:w="1928"/>
          </w:tcPr>
          <w:p>
            <w:pPr>
              <w:bidi w:val="1"/>
              <w:spacing w:after="20" w:before="20"/>
              <w:jc w:val="right"/>
            </w:pPr>
            <w:r/>
            <w:r>
              <w:rPr>
                <w:rFonts w:ascii="Arial" w:hAnsi="Arial" w:cs="Arial"/>
                <w:b/>
                <w:i w:val="0"/>
                <w:sz w:val="20"/>
                <w:rtl w:val="1"/>
              </w:rPr>
              <w:t>הנוסעים</w:t>
            </w:r>
          </w:p>
        </w:tc>
        <w:tc>
          <w:tcPr>
            <w:tcW w:type="dxa" w:w="7597"/>
          </w:tcPr>
          <w:p>
            <w:pPr>
              <w:bidi w:val="1"/>
              <w:spacing w:after="20" w:before="20"/>
              <w:jc w:val="right"/>
            </w:pPr>
            <w:r/>
            <w:r>
              <w:rPr>
                <w:rFonts w:ascii="Arial" w:hAnsi="Arial" w:cs="Arial"/>
                <w:b w:val="0"/>
                <w:i w:val="0"/>
                <w:sz w:val="20"/>
                <w:rtl w:val="1"/>
              </w:rPr>
              <w:t>ארבעה נוסעים, שני זוגות, שני חדרים זוגיים. שמעון פרץ · shimon@ps-eng.com · 054-5341660</w:t>
            </w:r>
          </w:p>
        </w:tc>
      </w:tr>
      <w:tr>
        <w:tc>
          <w:tcPr>
            <w:tcW w:type="dxa" w:w="1928"/>
            <w:shd w:val="clear" w:color="auto" w:fill="EEF2F8"/>
          </w:tcPr>
          <w:p>
            <w:pPr>
              <w:bidi w:val="1"/>
              <w:spacing w:after="20" w:before="20"/>
              <w:jc w:val="right"/>
            </w:pPr>
            <w:r/>
            <w:r>
              <w:rPr>
                <w:rFonts w:ascii="Arial" w:hAnsi="Arial" w:cs="Arial"/>
                <w:b/>
                <w:i w:val="0"/>
                <w:sz w:val="20"/>
                <w:rtl w:val="1"/>
              </w:rPr>
              <w:t>התאריכים</w:t>
            </w:r>
          </w:p>
        </w:tc>
        <w:tc>
          <w:tcPr>
            <w:tcW w:type="dxa" w:w="7597"/>
            <w:shd w:val="clear" w:color="auto" w:fill="EEF2F8"/>
          </w:tcPr>
          <w:p>
            <w:pPr>
              <w:bidi w:val="1"/>
              <w:spacing w:after="20" w:before="20"/>
              <w:jc w:val="right"/>
            </w:pPr>
            <w:r/>
            <w:r>
              <w:rPr>
                <w:rFonts w:ascii="Arial" w:hAnsi="Arial" w:cs="Arial"/>
                <w:b w:val="0"/>
                <w:i w:val="0"/>
                <w:sz w:val="20"/>
                <w:rtl w:val="1"/>
              </w:rPr>
              <w:t>13–29 בינואר 2027, שבעה־עשר יום. נחיתה בהאנוי 13/01 ב־05:55, יציאה מסיאם ריפ 29/01 ב־19:25</w:t>
            </w:r>
          </w:p>
        </w:tc>
      </w:tr>
      <w:tr>
        <w:tc>
          <w:tcPr>
            <w:tcW w:type="dxa" w:w="1928"/>
          </w:tcPr>
          <w:p>
            <w:pPr>
              <w:bidi w:val="1"/>
              <w:spacing w:after="20" w:before="20"/>
              <w:jc w:val="right"/>
            </w:pPr>
            <w:r/>
            <w:r>
              <w:rPr>
                <w:rFonts w:ascii="Arial" w:hAnsi="Arial" w:cs="Arial"/>
                <w:b/>
                <w:i w:val="0"/>
                <w:sz w:val="20"/>
                <w:rtl w:val="1"/>
              </w:rPr>
              <w:t>המסלור</w:t>
            </w:r>
          </w:p>
        </w:tc>
        <w:tc>
          <w:tcPr>
            <w:tcW w:type="dxa" w:w="7597"/>
          </w:tcPr>
          <w:p>
            <w:pPr>
              <w:bidi w:val="1"/>
              <w:spacing w:after="20" w:before="20"/>
              <w:jc w:val="right"/>
            </w:pPr>
            <w:r/>
            <w:r>
              <w:rPr>
                <w:rFonts w:ascii="Arial" w:hAnsi="Arial" w:cs="Arial"/>
                <w:b w:val="0"/>
                <w:i w:val="0"/>
                <w:sz w:val="20"/>
                <w:rtl w:val="1"/>
              </w:rPr>
              <w:t>האנוי · נין בין · סאפה · באק הא · מפרץ לאן הא · הואה · הוי אן · סייגון · קאן טו · סיאם ריפ</w:t>
            </w:r>
          </w:p>
        </w:tc>
      </w:tr>
      <w:tr>
        <w:tc>
          <w:tcPr>
            <w:tcW w:type="dxa" w:w="1928"/>
            <w:shd w:val="clear" w:color="auto" w:fill="EEF2F8"/>
          </w:tcPr>
          <w:p>
            <w:pPr>
              <w:bidi w:val="1"/>
              <w:spacing w:after="20" w:before="20"/>
              <w:jc w:val="right"/>
            </w:pPr>
            <w:r/>
            <w:r>
              <w:rPr>
                <w:rFonts w:ascii="Arial" w:hAnsi="Arial" w:cs="Arial"/>
                <w:b/>
                <w:i w:val="0"/>
                <w:sz w:val="20"/>
                <w:rtl w:val="1"/>
              </w:rPr>
              <w:t>המסמך הקובע</w:t>
            </w:r>
          </w:p>
        </w:tc>
        <w:tc>
          <w:tcPr>
            <w:tcW w:type="dxa" w:w="7597"/>
            <w:shd w:val="clear" w:color="auto" w:fill="EEF2F8"/>
          </w:tcPr>
          <w:p>
            <w:pPr>
              <w:bidi w:val="1"/>
              <w:spacing w:after="20" w:before="20"/>
              <w:jc w:val="right"/>
            </w:pPr>
            <w:r/>
            <w:r>
              <w:rPr>
                <w:rFonts w:ascii="Arial" w:hAnsi="Arial" w:cs="Arial"/>
                <w:b w:val="0"/>
                <w:i w:val="0"/>
                <w:sz w:val="20"/>
                <w:rtl w:val="1"/>
              </w:rPr>
              <w:t>Vietnam-RFQ-17-Days — המסלול יום־ביום וטבלת הרכיבים, כפי שסומנה על ידי הספק ב־28/08/2026</w:t>
            </w:r>
          </w:p>
        </w:tc>
      </w:tr>
    </w:tbl>
    <w:p>
      <w:pPr>
        <w:spacing w:after="40"/>
      </w:pPr>
    </w:p>
    <w:p>
      <w:pPr>
        <w:bidi w:val="1"/>
        <w:spacing w:after="120" w:before="280" w:line="276" w:lineRule="auto"/>
        <w:jc w:val="right"/>
      </w:pPr>
      <w:r>
        <w:rPr>
          <w:rFonts w:ascii="Arial" w:hAnsi="Arial" w:cs="Arial"/>
          <w:b/>
          <w:i w:val="0"/>
          <w:color w:val="1F3B63"/>
          <w:sz w:val="32"/>
          <w:rtl w:val="1"/>
        </w:rPr>
        <w:t>1. המחיר</w:t>
      </w:r>
    </w:p>
    <w:p>
      <w:pPr>
        <w:bidi w:val="1"/>
        <w:spacing w:after="80" w:before="0" w:line="276" w:lineRule="auto"/>
        <w:jc w:val="right"/>
      </w:pPr>
      <w:r>
        <w:rPr>
          <w:rFonts w:ascii="Arial" w:hAnsi="Arial" w:cs="Arial"/>
          <w:b w:val="0"/>
          <w:i w:val="0"/>
          <w:sz w:val="22"/>
          <w:u w:val="single"/>
          <w:rtl w:val="1"/>
        </w:rPr>
        <w:t>המחיר: 10,712 דולר לארבעה נוסעים, במלונות 4 כוכבים.</w:t>
      </w:r>
      <w:r>
        <w:rPr>
          <w:rFonts w:ascii="Arial" w:hAnsi="Arial" w:cs="Arial"/>
          <w:b w:val="0"/>
          <w:i w:val="0"/>
          <w:sz w:val="22"/>
          <w:rtl w:val="1"/>
        </w:rPr>
        <w:t xml:space="preserve"> כפי שנקבע בהצעת הספק מ־27/08/2026 ואושר על ידינו.</w:t>
      </w:r>
    </w:p>
    <w:p>
      <w:pPr>
        <w:bidi w:val="1"/>
        <w:spacing w:after="80" w:before="0" w:line="276" w:lineRule="auto"/>
        <w:jc w:val="right"/>
      </w:pPr>
      <w:r>
        <w:rPr>
          <w:rFonts w:ascii="Arial" w:hAnsi="Arial" w:cs="Arial"/>
          <w:b w:val="0"/>
          <w:i w:val="0"/>
          <w:sz w:val="22"/>
          <w:rtl w:val="1"/>
        </w:rPr>
        <w:t>שדרוג ל־5 כוכבים: תוספת של 50–80 דולר לחדר ללילה, לפי הצעת הספק מ־24/08/2026. לא נבחר — אנחנו נשארים ב־4 כוכבים.</w:t>
      </w:r>
    </w:p>
    <w:p>
      <w:pPr>
        <w:bidi w:val="1"/>
        <w:spacing w:after="80" w:before="0" w:line="276" w:lineRule="auto"/>
        <w:jc w:val="right"/>
      </w:pPr>
      <w:r>
        <w:rPr>
          <w:rFonts w:ascii="Arial" w:hAnsi="Arial" w:cs="Arial"/>
          <w:b w:val="0"/>
          <w:i w:val="0"/>
          <w:sz w:val="22"/>
          <w:rtl w:val="1"/>
        </w:rPr>
        <w:t>המחיר מכסה את הסידורים בקרקע, שלוש טיסות פנים ושתי רכבות לילה. הטיסות הבינלאומיות מכורטסות על ידינו ואינן חלק מההסכם.</w:t>
      </w:r>
    </w:p>
    <w:p>
      <w:pPr>
        <w:bidi w:val="1"/>
        <w:spacing w:after="120" w:before="280" w:line="276" w:lineRule="auto"/>
        <w:jc w:val="right"/>
      </w:pPr>
      <w:r>
        <w:rPr>
          <w:rFonts w:ascii="Arial" w:hAnsi="Arial" w:cs="Arial"/>
          <w:b/>
          <w:i w:val="0"/>
          <w:color w:val="1F3B63"/>
          <w:sz w:val="32"/>
          <w:rtl w:val="1"/>
        </w:rPr>
        <w:t>2. מה שכלול במחיר</w:t>
      </w:r>
    </w:p>
    <w:tbl>
      <w:tblPr>
        <w:tblStyle w:val="TableGrid"/>
        <w:tblW w:type="auto" w:w="0"/>
        <w:jc w:val="right"/>
        <w:tblLook w:firstColumn="1" w:firstRow="1" w:lastColumn="0" w:lastRow="0" w:noHBand="0" w:noVBand="1" w:val="04A0"/>
        <w:bidiVisual/>
      </w:tblPr>
      <w:tblGrid>
        <w:gridCol w:w="5043"/>
        <w:gridCol w:w="5043"/>
      </w:tblGrid>
      <w:tr>
        <w:tc>
          <w:tcPr>
            <w:tcW w:type="dxa" w:w="1928"/>
            <w:shd w:val="clear" w:color="auto" w:fill="1F3B63"/>
          </w:tcPr>
          <w:p>
            <w:pPr>
              <w:bidi w:val="1"/>
              <w:spacing w:after="20" w:before="20"/>
              <w:jc w:val="right"/>
            </w:pPr>
            <w:r/>
            <w:r>
              <w:rPr>
                <w:rFonts w:ascii="Arial" w:hAnsi="Arial" w:cs="Arial"/>
                <w:b/>
                <w:i w:val="0"/>
                <w:color w:val="FFFFFF"/>
                <w:sz w:val="21"/>
                <w:rtl w:val="1"/>
              </w:rPr>
            </w:r>
          </w:p>
        </w:tc>
        <w:tc>
          <w:tcPr>
            <w:tcW w:type="dxa" w:w="7597"/>
            <w:shd w:val="clear" w:color="auto" w:fill="1F3B63"/>
          </w:tcPr>
          <w:p>
            <w:pPr>
              <w:bidi w:val="1"/>
              <w:spacing w:after="20" w:before="20"/>
              <w:jc w:val="right"/>
            </w:pPr>
            <w:r/>
            <w:r>
              <w:rPr>
                <w:rFonts w:ascii="Arial" w:hAnsi="Arial" w:cs="Arial"/>
                <w:b/>
                <w:i w:val="0"/>
                <w:color w:val="FFFFFF"/>
                <w:sz w:val="21"/>
                <w:rtl w:val="1"/>
              </w:rPr>
            </w:r>
          </w:p>
        </w:tc>
      </w:tr>
      <w:tr>
        <w:tc>
          <w:tcPr>
            <w:tcW w:type="dxa" w:w="1928"/>
            <w:shd w:val="clear" w:color="auto" w:fill="EEF2F8"/>
          </w:tcPr>
          <w:p>
            <w:pPr>
              <w:bidi w:val="1"/>
              <w:spacing w:after="20" w:before="20"/>
              <w:jc w:val="right"/>
            </w:pPr>
            <w:r/>
            <w:r>
              <w:rPr>
                <w:rFonts w:ascii="Arial" w:hAnsi="Arial" w:cs="Arial"/>
                <w:b/>
                <w:i w:val="0"/>
                <w:sz w:val="20"/>
                <w:rtl w:val="1"/>
              </w:rPr>
              <w:t>לינה</w:t>
            </w:r>
          </w:p>
        </w:tc>
        <w:tc>
          <w:tcPr>
            <w:tcW w:type="dxa" w:w="7597"/>
            <w:shd w:val="clear" w:color="auto" w:fill="EEF2F8"/>
          </w:tcPr>
          <w:p>
            <w:pPr>
              <w:bidi w:val="1"/>
              <w:spacing w:after="20" w:before="20"/>
              <w:jc w:val="right"/>
            </w:pPr>
            <w:r/>
            <w:r>
              <w:rPr>
                <w:rFonts w:ascii="Arial" w:hAnsi="Arial" w:cs="Arial"/>
                <w:b w:val="0"/>
                <w:i w:val="0"/>
                <w:sz w:val="20"/>
                <w:rtl w:val="1"/>
              </w:rPr>
              <w:t xml:space="preserve">14 לילות במלון בשני חדרים זוגיים, </w:t>
            </w:r>
            <w:r>
              <w:rPr>
                <w:rFonts w:ascii="Arial" w:hAnsi="Arial" w:cs="Arial"/>
                <w:b w:val="0"/>
                <w:i w:val="0"/>
                <w:sz w:val="20"/>
                <w:u w:val="single"/>
                <w:rtl w:val="1"/>
              </w:rPr>
              <w:t>כולל הלילה של 12/01</w:t>
            </w:r>
            <w:r>
              <w:rPr>
                <w:rFonts w:ascii="Arial" w:hAnsi="Arial" w:cs="Arial"/>
                <w:b w:val="0"/>
                <w:i w:val="0"/>
                <w:sz w:val="20"/>
                <w:rtl w:val="1"/>
              </w:rPr>
              <w:t xml:space="preserve"> כך שהחדר פנוי בהגעה ב־07:00. חדר day-use בהאנוי בבוקר 18/01 — חדר אחד למקלחת. מלון TTC Can Tho ב־25/01, על רציף נין קיאו — הסירות לקאי ראנג יוצאות משם.</w:t>
            </w:r>
          </w:p>
        </w:tc>
      </w:tr>
      <w:tr>
        <w:tc>
          <w:tcPr>
            <w:tcW w:type="dxa" w:w="1928"/>
          </w:tcPr>
          <w:p>
            <w:pPr>
              <w:bidi w:val="1"/>
              <w:spacing w:after="20" w:before="20"/>
              <w:jc w:val="right"/>
            </w:pPr>
            <w:r/>
            <w:r>
              <w:rPr>
                <w:rFonts w:ascii="Arial" w:hAnsi="Arial" w:cs="Arial"/>
                <w:b/>
                <w:i w:val="0"/>
                <w:sz w:val="20"/>
                <w:rtl w:val="1"/>
              </w:rPr>
              <w:t>טיסות פנים</w:t>
            </w:r>
          </w:p>
        </w:tc>
        <w:tc>
          <w:tcPr>
            <w:tcW w:type="dxa" w:w="7597"/>
          </w:tcPr>
          <w:p>
            <w:pPr>
              <w:bidi w:val="1"/>
              <w:spacing w:after="20" w:before="20"/>
              <w:jc w:val="right"/>
            </w:pPr>
            <w:r/>
            <w:r>
              <w:rPr>
                <w:rFonts w:ascii="Arial" w:hAnsi="Arial" w:cs="Arial"/>
                <w:b w:val="0"/>
                <w:i w:val="0"/>
                <w:sz w:val="20"/>
                <w:rtl w:val="1"/>
              </w:rPr>
              <w:t xml:space="preserve">שלוש טיסות לארבעה נוסעים, כולל מיסי נמל: האנוי←הואה 19/01, דה נאנג←סייגון 23/01, </w:t>
            </w:r>
            <w:r>
              <w:rPr>
                <w:rFonts w:ascii="Arial" w:hAnsi="Arial" w:cs="Arial"/>
                <w:b w:val="0"/>
                <w:i w:val="0"/>
                <w:sz w:val="20"/>
                <w:u w:val="single"/>
                <w:rtl w:val="1"/>
              </w:rPr>
              <w:t>סייגון←סיאם ריפ 26/01</w:t>
            </w:r>
            <w:r>
              <w:rPr>
                <w:rFonts w:ascii="Arial" w:hAnsi="Arial" w:cs="Arial"/>
                <w:b w:val="0"/>
                <w:i w:val="0"/>
                <w:sz w:val="20"/>
                <w:rtl w:val="1"/>
              </w:rPr>
              <w:t>.</w:t>
            </w:r>
          </w:p>
        </w:tc>
      </w:tr>
      <w:tr>
        <w:tc>
          <w:tcPr>
            <w:tcW w:type="dxa" w:w="1928"/>
            <w:shd w:val="clear" w:color="auto" w:fill="EEF2F8"/>
          </w:tcPr>
          <w:p>
            <w:pPr>
              <w:bidi w:val="1"/>
              <w:spacing w:after="20" w:before="20"/>
              <w:jc w:val="right"/>
            </w:pPr>
            <w:r/>
            <w:r>
              <w:rPr>
                <w:rFonts w:ascii="Arial" w:hAnsi="Arial" w:cs="Arial"/>
                <w:b/>
                <w:i w:val="0"/>
                <w:sz w:val="20"/>
                <w:rtl w:val="1"/>
              </w:rPr>
              <w:t>רכבות לילה</w:t>
            </w:r>
          </w:p>
        </w:tc>
        <w:tc>
          <w:tcPr>
            <w:tcW w:type="dxa" w:w="7597"/>
            <w:shd w:val="clear" w:color="auto" w:fill="EEF2F8"/>
          </w:tcPr>
          <w:p>
            <w:pPr>
              <w:bidi w:val="1"/>
              <w:spacing w:after="20" w:before="20"/>
              <w:jc w:val="right"/>
            </w:pPr>
            <w:r/>
            <w:r>
              <w:rPr>
                <w:rFonts w:ascii="Arial" w:hAnsi="Arial" w:cs="Arial"/>
                <w:b w:val="0"/>
                <w:i w:val="0"/>
                <w:sz w:val="20"/>
                <w:rtl w:val="1"/>
              </w:rPr>
              <w:t xml:space="preserve">שתי נסיעות, </w:t>
            </w:r>
            <w:r>
              <w:rPr>
                <w:rFonts w:ascii="Arial" w:hAnsi="Arial" w:cs="Arial"/>
                <w:b w:val="0"/>
                <w:i w:val="0"/>
                <w:sz w:val="20"/>
                <w:u w:val="single"/>
                <w:rtl w:val="1"/>
              </w:rPr>
              <w:t>שני תאי VIP פרטיים בכל כיוון</w:t>
            </w:r>
            <w:r>
              <w:rPr>
                <w:rFonts w:ascii="Arial" w:hAnsi="Arial" w:cs="Arial"/>
                <w:b w:val="0"/>
                <w:i w:val="0"/>
                <w:sz w:val="20"/>
                <w:rtl w:val="1"/>
              </w:rPr>
              <w:t>, ב־Sapaly Express או Chapa Express — האנוי←לאו קאי 15/01 ולאו קאי←האנוי 17/01. הספק אישר שהתאים זמינים.</w:t>
            </w:r>
          </w:p>
        </w:tc>
      </w:tr>
      <w:tr>
        <w:tc>
          <w:tcPr>
            <w:tcW w:type="dxa" w:w="1928"/>
          </w:tcPr>
          <w:p>
            <w:pPr>
              <w:bidi w:val="1"/>
              <w:spacing w:after="20" w:before="20"/>
              <w:jc w:val="right"/>
            </w:pPr>
            <w:r/>
            <w:r>
              <w:rPr>
                <w:rFonts w:ascii="Arial" w:hAnsi="Arial" w:cs="Arial"/>
                <w:b/>
                <w:i w:val="0"/>
                <w:sz w:val="20"/>
                <w:rtl w:val="1"/>
              </w:rPr>
              <w:t>סירות ושייט</w:t>
            </w:r>
          </w:p>
        </w:tc>
        <w:tc>
          <w:tcPr>
            <w:tcW w:type="dxa" w:w="7597"/>
          </w:tcPr>
          <w:p>
            <w:pPr>
              <w:bidi w:val="1"/>
              <w:spacing w:after="20" w:before="20"/>
              <w:jc w:val="right"/>
            </w:pPr>
            <w:r/>
            <w:r>
              <w:rPr>
                <w:rFonts w:ascii="Arial" w:hAnsi="Arial" w:cs="Arial"/>
                <w:b w:val="0"/>
                <w:i w:val="0"/>
                <w:sz w:val="20"/>
                <w:rtl w:val="1"/>
              </w:rPr>
              <w:t>טראנג אן · שייט לילה במפרץ לאן הא בתא עם מרפסת · נהר הבושם · נהר תו בון וסירות הסל · קים בונג ות׳אן הא · תעלות קאי בה וטאן פונג · שוק צף קאי ראנג · קמפונג פלוק.</w:t>
            </w:r>
          </w:p>
        </w:tc>
      </w:tr>
      <w:tr>
        <w:tc>
          <w:tcPr>
            <w:tcW w:type="dxa" w:w="1928"/>
            <w:shd w:val="clear" w:color="auto" w:fill="EEF2F8"/>
          </w:tcPr>
          <w:p>
            <w:pPr>
              <w:bidi w:val="1"/>
              <w:spacing w:after="20" w:before="20"/>
              <w:jc w:val="right"/>
            </w:pPr>
            <w:r/>
            <w:r>
              <w:rPr>
                <w:rFonts w:ascii="Arial" w:hAnsi="Arial" w:cs="Arial"/>
                <w:b/>
                <w:i w:val="0"/>
                <w:sz w:val="20"/>
                <w:rtl w:val="1"/>
              </w:rPr>
              <w:t>תחבורה</w:t>
            </w:r>
          </w:p>
        </w:tc>
        <w:tc>
          <w:tcPr>
            <w:tcW w:type="dxa" w:w="7597"/>
            <w:shd w:val="clear" w:color="auto" w:fill="EEF2F8"/>
          </w:tcPr>
          <w:p>
            <w:pPr>
              <w:bidi w:val="1"/>
              <w:spacing w:after="20" w:before="20"/>
              <w:jc w:val="right"/>
            </w:pPr>
            <w:r/>
            <w:r>
              <w:rPr>
                <w:rFonts w:ascii="Arial" w:hAnsi="Arial" w:cs="Arial"/>
                <w:b w:val="0"/>
                <w:i w:val="0"/>
                <w:sz w:val="20"/>
                <w:rtl w:val="1"/>
              </w:rPr>
              <w:t xml:space="preserve">ואן ממוזג ונהג צמוד לארבעה, </w:t>
            </w:r>
            <w:r>
              <w:rPr>
                <w:rFonts w:ascii="Arial" w:hAnsi="Arial" w:cs="Arial"/>
                <w:b w:val="0"/>
                <w:i w:val="0"/>
                <w:sz w:val="20"/>
                <w:u w:val="single"/>
                <w:rtl w:val="1"/>
              </w:rPr>
              <w:t>פרטי לכל אורך הטיול</w:t>
            </w:r>
            <w:r>
              <w:rPr>
                <w:rFonts w:ascii="Arial" w:hAnsi="Arial" w:cs="Arial"/>
                <w:b w:val="0"/>
                <w:i w:val="0"/>
                <w:sz w:val="20"/>
                <w:rtl w:val="1"/>
              </w:rPr>
              <w:t>, 17 יום. העברות שדה בהאנוי ובסיאם ריפ. ארבעה קטנועים עם נהגים בנין בין.</w:t>
            </w:r>
          </w:p>
        </w:tc>
      </w:tr>
      <w:tr>
        <w:tc>
          <w:tcPr>
            <w:tcW w:type="dxa" w:w="1928"/>
          </w:tcPr>
          <w:p>
            <w:pPr>
              <w:bidi w:val="1"/>
              <w:spacing w:after="20" w:before="20"/>
              <w:jc w:val="right"/>
            </w:pPr>
            <w:r/>
            <w:r>
              <w:rPr>
                <w:rFonts w:ascii="Arial" w:hAnsi="Arial" w:cs="Arial"/>
                <w:b/>
                <w:i w:val="0"/>
                <w:sz w:val="20"/>
                <w:rtl w:val="1"/>
              </w:rPr>
              <w:t>כניסות</w:t>
            </w:r>
          </w:p>
        </w:tc>
        <w:tc>
          <w:tcPr>
            <w:tcW w:type="dxa" w:w="7597"/>
          </w:tcPr>
          <w:p>
            <w:pPr>
              <w:bidi w:val="1"/>
              <w:spacing w:after="20" w:before="20"/>
              <w:jc w:val="right"/>
            </w:pPr>
            <w:r/>
            <w:r>
              <w:rPr>
                <w:rFonts w:ascii="Arial" w:hAnsi="Arial" w:cs="Arial"/>
                <w:b w:val="0"/>
                <w:i w:val="0"/>
                <w:sz w:val="20"/>
                <w:u w:val="single"/>
                <w:rtl w:val="1"/>
              </w:rPr>
              <w:t>כל הכניסות לאתרים, כולל כרטיס אנגקור לשלושה ימים.</w:t>
            </w:r>
            <w:r>
              <w:rPr>
                <w:rFonts w:ascii="Arial" w:hAnsi="Arial" w:cs="Arial"/>
                <w:b w:val="0"/>
                <w:i w:val="0"/>
                <w:sz w:val="20"/>
                <w:rtl w:val="1"/>
              </w:rPr>
              <w:t xml:space="preserve"> מקדש הספרות · האתנולוגיה · טראנג אן והואה לו · כפרי סאפה · סאונת עשבים · באק הא · העיר הקיסרית · תיין מו · העיר העתיקה בהוי אן · מיי סון · הרי השיש · קו צ׳י · שרידי המלחמה · ארמון האיחוד · אגרות המקונג · קמפונג פלוק · חוות המשי · APOPO.</w:t>
            </w:r>
          </w:p>
        </w:tc>
      </w:tr>
      <w:tr>
        <w:tc>
          <w:tcPr>
            <w:tcW w:type="dxa" w:w="1928"/>
            <w:shd w:val="clear" w:color="auto" w:fill="EEF2F8"/>
          </w:tcPr>
          <w:p>
            <w:pPr>
              <w:bidi w:val="1"/>
              <w:spacing w:after="20" w:before="20"/>
              <w:jc w:val="right"/>
            </w:pPr>
            <w:r/>
            <w:r>
              <w:rPr>
                <w:rFonts w:ascii="Arial" w:hAnsi="Arial" w:cs="Arial"/>
                <w:b/>
                <w:i w:val="0"/>
                <w:sz w:val="20"/>
                <w:rtl w:val="1"/>
              </w:rPr>
              <w:t>הדרכה</w:t>
            </w:r>
          </w:p>
        </w:tc>
        <w:tc>
          <w:tcPr>
            <w:tcW w:type="dxa" w:w="7597"/>
            <w:shd w:val="clear" w:color="auto" w:fill="EEF2F8"/>
          </w:tcPr>
          <w:p>
            <w:pPr>
              <w:bidi w:val="1"/>
              <w:spacing w:after="20" w:before="20"/>
              <w:jc w:val="right"/>
            </w:pPr>
            <w:r/>
            <w:r>
              <w:rPr>
                <w:rFonts w:ascii="Arial" w:hAnsi="Arial" w:cs="Arial"/>
                <w:b w:val="0"/>
                <w:i w:val="0"/>
                <w:sz w:val="20"/>
                <w:rtl w:val="1"/>
              </w:rPr>
              <w:t xml:space="preserve">מדריך דובר אנגלית </w:t>
            </w:r>
            <w:r>
              <w:rPr>
                <w:rFonts w:ascii="Arial" w:hAnsi="Arial" w:cs="Arial"/>
                <w:b w:val="0"/>
                <w:i w:val="0"/>
                <w:sz w:val="20"/>
                <w:u w:val="single"/>
                <w:rtl w:val="1"/>
              </w:rPr>
              <w:t>ל־15 יום</w:t>
            </w:r>
            <w:r>
              <w:rPr>
                <w:rFonts w:ascii="Arial" w:hAnsi="Arial" w:cs="Arial"/>
                <w:b w:val="0"/>
                <w:i w:val="0"/>
                <w:sz w:val="20"/>
                <w:rtl w:val="1"/>
              </w:rPr>
              <w:t>. מדריך טרק מקומי בסאפה לשני ימים.</w:t>
            </w:r>
          </w:p>
        </w:tc>
      </w:tr>
      <w:tr>
        <w:tc>
          <w:tcPr>
            <w:tcW w:type="dxa" w:w="1928"/>
          </w:tcPr>
          <w:p>
            <w:pPr>
              <w:bidi w:val="1"/>
              <w:spacing w:after="20" w:before="20"/>
              <w:jc w:val="right"/>
            </w:pPr>
            <w:r/>
            <w:r>
              <w:rPr>
                <w:rFonts w:ascii="Arial" w:hAnsi="Arial" w:cs="Arial"/>
                <w:b/>
                <w:i w:val="0"/>
                <w:sz w:val="20"/>
                <w:rtl w:val="1"/>
              </w:rPr>
              <w:t>ארוחות</w:t>
            </w:r>
          </w:p>
        </w:tc>
        <w:tc>
          <w:tcPr>
            <w:tcW w:type="dxa" w:w="7597"/>
          </w:tcPr>
          <w:p>
            <w:pPr>
              <w:bidi w:val="1"/>
              <w:spacing w:after="20" w:before="20"/>
              <w:jc w:val="right"/>
            </w:pPr>
            <w:r/>
            <w:r>
              <w:rPr>
                <w:rFonts w:ascii="Arial" w:hAnsi="Arial" w:cs="Arial"/>
                <w:b w:val="0"/>
                <w:i w:val="0"/>
                <w:sz w:val="20"/>
                <w:u w:val="single"/>
                <w:rtl w:val="1"/>
              </w:rPr>
              <w:t>כל ארוחות הבוקר כלולות — 16 ארוחות, בכל לינה לאורך כל הטיול.</w:t>
            </w:r>
            <w:r>
              <w:rPr>
                <w:rFonts w:ascii="Arial" w:hAnsi="Arial" w:cs="Arial"/>
                <w:b w:val="0"/>
                <w:i w:val="0"/>
                <w:sz w:val="20"/>
                <w:rtl w:val="1"/>
              </w:rPr>
              <w:t xml:space="preserve"> ובנוסף: כלכלה מלאה על הספינה (צהריים, ערב, בוקר ובראנץ׳) · הארוחה הקיסרית בהואה · צהריים בסדנת הבישול בהוי אן · צהריים בדלתת המקונג · ארוחת הערב עם מופע האפסרה.</w:t>
            </w:r>
          </w:p>
        </w:tc>
      </w:tr>
      <w:tr>
        <w:tc>
          <w:tcPr>
            <w:tcW w:type="dxa" w:w="1928"/>
            <w:shd w:val="clear" w:color="auto" w:fill="EEF2F8"/>
          </w:tcPr>
          <w:p>
            <w:pPr>
              <w:bidi w:val="1"/>
              <w:spacing w:after="20" w:before="20"/>
              <w:jc w:val="right"/>
            </w:pPr>
            <w:r/>
            <w:r>
              <w:rPr>
                <w:rFonts w:ascii="Arial" w:hAnsi="Arial" w:cs="Arial"/>
                <w:b/>
                <w:i w:val="0"/>
                <w:sz w:val="20"/>
                <w:rtl w:val="1"/>
              </w:rPr>
              <w:t>ויזה לווייטנאם</w:t>
            </w:r>
          </w:p>
        </w:tc>
        <w:tc>
          <w:tcPr>
            <w:tcW w:type="dxa" w:w="7597"/>
            <w:shd w:val="clear" w:color="auto" w:fill="EEF2F8"/>
          </w:tcPr>
          <w:p>
            <w:pPr>
              <w:bidi w:val="1"/>
              <w:spacing w:after="20" w:before="20"/>
              <w:jc w:val="right"/>
            </w:pPr>
            <w:r/>
            <w:r>
              <w:rPr>
                <w:rFonts w:ascii="Arial" w:hAnsi="Arial" w:cs="Arial"/>
                <w:b w:val="0"/>
                <w:i w:val="0"/>
                <w:sz w:val="20"/>
                <w:u w:val="single"/>
                <w:rtl w:val="1"/>
              </w:rPr>
              <w:t>הספק מטפל</w:t>
            </w:r>
            <w:r>
              <w:rPr>
                <w:rFonts w:ascii="Arial" w:hAnsi="Arial" w:cs="Arial"/>
                <w:b w:val="0"/>
                <w:i w:val="0"/>
                <w:sz w:val="20"/>
                <w:rtl w:val="1"/>
              </w:rPr>
              <w:t xml:space="preserve"> — ויזה אלקטרונית מראש לארבעה.</w:t>
            </w:r>
          </w:p>
        </w:tc>
      </w:tr>
      <w:tr>
        <w:tc>
          <w:tcPr>
            <w:tcW w:type="dxa" w:w="1928"/>
          </w:tcPr>
          <w:p>
            <w:pPr>
              <w:bidi w:val="1"/>
              <w:spacing w:after="20" w:before="20"/>
              <w:jc w:val="right"/>
            </w:pPr>
            <w:r/>
            <w:r>
              <w:rPr>
                <w:rFonts w:ascii="Arial" w:hAnsi="Arial" w:cs="Arial"/>
                <w:b/>
                <w:i w:val="0"/>
                <w:sz w:val="20"/>
                <w:rtl w:val="1"/>
              </w:rPr>
              <w:t>מופעים וסדנאות</w:t>
            </w:r>
          </w:p>
        </w:tc>
        <w:tc>
          <w:tcPr>
            <w:tcW w:type="dxa" w:w="7597"/>
          </w:tcPr>
          <w:p>
            <w:pPr>
              <w:bidi w:val="1"/>
              <w:spacing w:after="20" w:before="20"/>
              <w:jc w:val="right"/>
            </w:pPr>
            <w:r/>
            <w:r>
              <w:rPr>
                <w:rFonts w:ascii="Arial" w:hAnsi="Arial" w:cs="Arial"/>
                <w:b w:val="0"/>
                <w:i w:val="0"/>
                <w:sz w:val="20"/>
                <w:rtl w:val="1"/>
              </w:rPr>
              <w:t xml:space="preserve">תיאטרון בובות המים · שני סיורי אוכל (בקטנועים, כל אחד מאחורי נהג מקומי) · סדנת בישול בהוי אן · </w:t>
            </w:r>
            <w:r>
              <w:rPr>
                <w:rFonts w:ascii="Arial" w:hAnsi="Arial" w:cs="Arial"/>
                <w:b w:val="0"/>
                <w:i w:val="0"/>
                <w:sz w:val="20"/>
                <w:u w:val="single"/>
                <w:rtl w:val="1"/>
              </w:rPr>
              <w:t>קרקס פארה ב־27/01 ב־19:30</w:t>
            </w:r>
            <w:r>
              <w:rPr>
                <w:rFonts w:ascii="Arial" w:hAnsi="Arial" w:cs="Arial"/>
                <w:b w:val="0"/>
                <w:i w:val="0"/>
                <w:sz w:val="20"/>
                <w:rtl w:val="1"/>
              </w:rPr>
              <w:t xml:space="preserve"> · </w:t>
            </w:r>
            <w:r>
              <w:rPr>
                <w:rFonts w:ascii="Arial" w:hAnsi="Arial" w:cs="Arial"/>
                <w:b w:val="0"/>
                <w:i w:val="0"/>
                <w:sz w:val="20"/>
                <w:u w:val="single"/>
                <w:rtl w:val="1"/>
              </w:rPr>
              <w:t>ארוחת האפסרה ב־28/01</w:t>
            </w:r>
            <w:r>
              <w:rPr>
                <w:rFonts w:ascii="Arial" w:hAnsi="Arial" w:cs="Arial"/>
                <w:b w:val="0"/>
                <w:i w:val="0"/>
                <w:sz w:val="20"/>
                <w:rtl w:val="1"/>
              </w:rPr>
              <w:t>, מזנון מ־18:30 ומופע 19:30–20:30.</w:t>
            </w:r>
          </w:p>
        </w:tc>
      </w:tr>
      <w:tr>
        <w:tc>
          <w:tcPr>
            <w:tcW w:type="dxa" w:w="1928"/>
            <w:shd w:val="clear" w:color="auto" w:fill="EEF2F8"/>
          </w:tcPr>
          <w:p>
            <w:pPr>
              <w:bidi w:val="1"/>
              <w:spacing w:after="20" w:before="20"/>
              <w:jc w:val="right"/>
            </w:pPr>
            <w:r/>
            <w:r>
              <w:rPr>
                <w:rFonts w:ascii="Arial" w:hAnsi="Arial" w:cs="Arial"/>
                <w:b/>
                <w:i w:val="0"/>
                <w:sz w:val="20"/>
                <w:rtl w:val="1"/>
              </w:rPr>
              <w:t>תיאומים</w:t>
            </w:r>
          </w:p>
        </w:tc>
        <w:tc>
          <w:tcPr>
            <w:tcW w:type="dxa" w:w="7597"/>
            <w:shd w:val="clear" w:color="auto" w:fill="EEF2F8"/>
          </w:tcPr>
          <w:p>
            <w:pPr>
              <w:bidi w:val="1"/>
              <w:spacing w:after="20" w:before="20"/>
              <w:jc w:val="right"/>
            </w:pPr>
            <w:r/>
            <w:r>
              <w:rPr>
                <w:rFonts w:ascii="Arial" w:hAnsi="Arial" w:cs="Arial"/>
                <w:b w:val="0"/>
                <w:i w:val="0"/>
                <w:sz w:val="20"/>
                <w:rtl w:val="1"/>
              </w:rPr>
              <w:t>קבלת פנים בשדה האנוי ב־05:55 · כניסה מוקדמת למיי סון · זריחה באנגקור לפני 05:30 · העברה לשדה סיאם ריפ ב־29/01.</w:t>
            </w:r>
          </w:p>
        </w:tc>
      </w:tr>
      <w:tr>
        <w:tc>
          <w:tcPr>
            <w:tcW w:type="dxa" w:w="1928"/>
          </w:tcPr>
          <w:p>
            <w:pPr>
              <w:bidi w:val="1"/>
              <w:spacing w:after="20" w:before="20"/>
              <w:jc w:val="right"/>
            </w:pPr>
            <w:r/>
            <w:r>
              <w:rPr>
                <w:rFonts w:ascii="Arial" w:hAnsi="Arial" w:cs="Arial"/>
                <w:b/>
                <w:i w:val="0"/>
                <w:sz w:val="20"/>
                <w:rtl w:val="1"/>
              </w:rPr>
              <w:t>נוסף</w:t>
            </w:r>
          </w:p>
        </w:tc>
        <w:tc>
          <w:tcPr>
            <w:tcW w:type="dxa" w:w="7597"/>
          </w:tcPr>
          <w:p>
            <w:pPr>
              <w:bidi w:val="1"/>
              <w:spacing w:after="20" w:before="20"/>
              <w:jc w:val="right"/>
            </w:pPr>
            <w:r/>
            <w:r>
              <w:rPr>
                <w:rFonts w:ascii="Arial" w:hAnsi="Arial" w:cs="Arial"/>
                <w:b w:val="0"/>
                <w:i w:val="0"/>
                <w:sz w:val="20"/>
                <w:rtl w:val="1"/>
              </w:rPr>
              <w:t>בקבוק מים לנוסע לכל יום.</w:t>
            </w:r>
          </w:p>
        </w:tc>
      </w:tr>
    </w:tbl>
    <w:p>
      <w:pPr>
        <w:spacing w:after="40"/>
      </w:pPr>
    </w:p>
    <w:p>
      <w:pPr>
        <w:bidi w:val="1"/>
        <w:spacing w:after="120" w:before="280" w:line="276" w:lineRule="auto"/>
        <w:jc w:val="right"/>
      </w:pPr>
      <w:r>
        <w:rPr>
          <w:rFonts w:ascii="Arial" w:hAnsi="Arial" w:cs="Arial"/>
          <w:b/>
          <w:i w:val="0"/>
          <w:color w:val="1F3B63"/>
          <w:sz w:val="32"/>
          <w:rtl w:val="1"/>
        </w:rPr>
        <w:t>3. מה שאינו כלול במחיר</w:t>
      </w:r>
    </w:p>
    <w:p>
      <w:pPr>
        <w:bidi w:val="1"/>
        <w:spacing w:after="80" w:before="0" w:line="276" w:lineRule="auto"/>
        <w:jc w:val="right"/>
      </w:pPr>
      <w:r>
        <w:rPr>
          <w:rFonts w:ascii="Arial" w:hAnsi="Arial" w:cs="Arial"/>
          <w:b w:val="0"/>
          <w:i/>
          <w:color w:val="A04A1E"/>
          <w:sz w:val="20"/>
          <w:rtl w:val="1"/>
        </w:rPr>
        <w:t>הפרק הזה חשוב לא פחות מהקודם — הוא מה שנוציא בשטח מעל למחיר.</w:t>
      </w:r>
    </w:p>
    <w:tbl>
      <w:tblPr>
        <w:tblStyle w:val="TableGrid"/>
        <w:tblW w:type="auto" w:w="0"/>
        <w:jc w:val="right"/>
        <w:tblLook w:firstColumn="1" w:firstRow="1" w:lastColumn="0" w:lastRow="0" w:noHBand="0" w:noVBand="1" w:val="04A0"/>
        <w:bidiVisual/>
      </w:tblPr>
      <w:tblGrid>
        <w:gridCol w:w="5043"/>
        <w:gridCol w:w="5043"/>
      </w:tblGrid>
      <w:tr>
        <w:tc>
          <w:tcPr>
            <w:tcW w:type="dxa" w:w="2608"/>
            <w:shd w:val="clear" w:color="auto" w:fill="1F3B63"/>
          </w:tcPr>
          <w:p>
            <w:pPr>
              <w:bidi w:val="1"/>
              <w:spacing w:after="20" w:before="20"/>
              <w:jc w:val="right"/>
            </w:pPr>
            <w:r/>
            <w:r>
              <w:rPr>
                <w:rFonts w:ascii="Arial" w:hAnsi="Arial" w:cs="Arial"/>
                <w:b/>
                <w:i w:val="0"/>
                <w:color w:val="FFFFFF"/>
                <w:sz w:val="21"/>
                <w:rtl w:val="1"/>
              </w:rPr>
            </w:r>
          </w:p>
        </w:tc>
        <w:tc>
          <w:tcPr>
            <w:tcW w:type="dxa" w:w="6917"/>
            <w:shd w:val="clear" w:color="auto" w:fill="1F3B63"/>
          </w:tcPr>
          <w:p>
            <w:pPr>
              <w:bidi w:val="1"/>
              <w:spacing w:after="20" w:before="20"/>
              <w:jc w:val="right"/>
            </w:pPr>
            <w:r/>
            <w:r>
              <w:rPr>
                <w:rFonts w:ascii="Arial" w:hAnsi="Arial" w:cs="Arial"/>
                <w:b/>
                <w:i w:val="0"/>
                <w:color w:val="FFFFFF"/>
                <w:sz w:val="21"/>
                <w:rtl w:val="1"/>
              </w:rPr>
            </w:r>
          </w:p>
        </w:tc>
      </w:tr>
      <w:tr>
        <w:tc>
          <w:tcPr>
            <w:tcW w:type="dxa" w:w="2608"/>
            <w:shd w:val="clear" w:color="auto" w:fill="EEF2F8"/>
          </w:tcPr>
          <w:p>
            <w:pPr>
              <w:bidi w:val="1"/>
              <w:spacing w:after="20" w:before="20"/>
              <w:jc w:val="right"/>
            </w:pPr>
            <w:r/>
            <w:r>
              <w:rPr>
                <w:rFonts w:ascii="Arial" w:hAnsi="Arial" w:cs="Arial"/>
                <w:b/>
                <w:i w:val="0"/>
                <w:sz w:val="20"/>
                <w:u w:val="single"/>
                <w:rtl w:val="1"/>
              </w:rPr>
              <w:t>טיפים</w:t>
            </w:r>
          </w:p>
        </w:tc>
        <w:tc>
          <w:tcPr>
            <w:tcW w:type="dxa" w:w="6917"/>
            <w:shd w:val="clear" w:color="auto" w:fill="EEF2F8"/>
          </w:tcPr>
          <w:p>
            <w:pPr>
              <w:bidi w:val="1"/>
              <w:spacing w:after="20" w:before="20"/>
              <w:jc w:val="right"/>
            </w:pPr>
            <w:r/>
            <w:r>
              <w:rPr>
                <w:rFonts w:ascii="Arial" w:hAnsi="Arial" w:cs="Arial"/>
                <w:b w:val="0"/>
                <w:i w:val="0"/>
                <w:sz w:val="20"/>
                <w:rtl w:val="1"/>
              </w:rPr>
              <w:t xml:space="preserve">לפי הנוהג שציין הספק: </w:t>
            </w:r>
            <w:r>
              <w:rPr>
                <w:rFonts w:ascii="Arial" w:hAnsi="Arial" w:cs="Arial"/>
                <w:b w:val="0"/>
                <w:i w:val="0"/>
                <w:sz w:val="20"/>
                <w:u w:val="single"/>
                <w:rtl w:val="1"/>
              </w:rPr>
              <w:t>מדריך 18–20 דולר ליום, נהג 8–10 דולר ליום.</w:t>
            </w:r>
            <w:r>
              <w:rPr>
                <w:rFonts w:ascii="Arial" w:hAnsi="Arial" w:cs="Arial"/>
                <w:b w:val="0"/>
                <w:i w:val="0"/>
                <w:sz w:val="20"/>
                <w:rtl w:val="1"/>
              </w:rPr>
              <w:t xml:space="preserve"> ל־15 ימי הדרכה ו־17 ימי נהיגה — כ־400–470 דולר לקבוצה.</w:t>
            </w:r>
          </w:p>
        </w:tc>
      </w:tr>
      <w:tr>
        <w:tc>
          <w:tcPr>
            <w:tcW w:type="dxa" w:w="2608"/>
          </w:tcPr>
          <w:p>
            <w:pPr>
              <w:bidi w:val="1"/>
              <w:spacing w:after="20" w:before="20"/>
              <w:jc w:val="right"/>
            </w:pPr>
            <w:r/>
            <w:r>
              <w:rPr>
                <w:rFonts w:ascii="Arial" w:hAnsi="Arial" w:cs="Arial"/>
                <w:b/>
                <w:i w:val="0"/>
                <w:sz w:val="20"/>
                <w:u w:val="single"/>
                <w:rtl w:val="1"/>
              </w:rPr>
              <w:t>ביטוח נסיעות</w:t>
            </w:r>
          </w:p>
        </w:tc>
        <w:tc>
          <w:tcPr>
            <w:tcW w:type="dxa" w:w="6917"/>
          </w:tcPr>
          <w:p>
            <w:pPr>
              <w:bidi w:val="1"/>
              <w:spacing w:after="20" w:before="20"/>
              <w:jc w:val="right"/>
            </w:pPr>
            <w:r/>
            <w:r>
              <w:rPr>
                <w:rFonts w:ascii="Arial" w:hAnsi="Arial" w:cs="Arial"/>
                <w:b w:val="0"/>
                <w:i w:val="0"/>
                <w:sz w:val="20"/>
                <w:rtl w:val="1"/>
              </w:rPr>
              <w:t>אינו כלול. הספק ממליץ על כיסוי לחירום רפואי, העברה רפואית, כבודה ופריטים אישיים, ועיכובי נסיעה.</w:t>
            </w:r>
          </w:p>
        </w:tc>
      </w:tr>
      <w:tr>
        <w:tc>
          <w:tcPr>
            <w:tcW w:type="dxa" w:w="2608"/>
            <w:shd w:val="clear" w:color="auto" w:fill="EEF2F8"/>
          </w:tcPr>
          <w:p>
            <w:pPr>
              <w:bidi w:val="1"/>
              <w:spacing w:after="20" w:before="20"/>
              <w:jc w:val="right"/>
            </w:pPr>
            <w:r/>
            <w:r>
              <w:rPr>
                <w:rFonts w:ascii="Arial" w:hAnsi="Arial" w:cs="Arial"/>
                <w:b/>
                <w:i w:val="0"/>
                <w:sz w:val="20"/>
                <w:u w:val="single"/>
                <w:rtl w:val="1"/>
              </w:rPr>
              <w:t>ויזה לקמבודיה</w:t>
            </w:r>
          </w:p>
        </w:tc>
        <w:tc>
          <w:tcPr>
            <w:tcW w:type="dxa" w:w="6917"/>
            <w:shd w:val="clear" w:color="auto" w:fill="EEF2F8"/>
          </w:tcPr>
          <w:p>
            <w:pPr>
              <w:bidi w:val="1"/>
              <w:spacing w:after="20" w:before="20"/>
              <w:jc w:val="right"/>
            </w:pPr>
            <w:r/>
            <w:r>
              <w:rPr>
                <w:rFonts w:ascii="Arial" w:hAnsi="Arial" w:cs="Arial"/>
                <w:b w:val="0"/>
                <w:i w:val="0"/>
                <w:sz w:val="20"/>
                <w:rtl w:val="1"/>
              </w:rPr>
              <w:t>אינה כלולה. תונפק בשדה התעופה בסיאם ריפ בהגעה ב־26/01.</w:t>
            </w:r>
          </w:p>
        </w:tc>
      </w:tr>
      <w:tr>
        <w:tc>
          <w:tcPr>
            <w:tcW w:type="dxa" w:w="2608"/>
          </w:tcPr>
          <w:p>
            <w:pPr>
              <w:bidi w:val="1"/>
              <w:spacing w:after="20" w:before="20"/>
              <w:jc w:val="right"/>
            </w:pPr>
            <w:r/>
            <w:r>
              <w:rPr>
                <w:rFonts w:ascii="Arial" w:hAnsi="Arial" w:cs="Arial"/>
                <w:b/>
                <w:i w:val="0"/>
                <w:sz w:val="20"/>
                <w:rtl w:val="1"/>
              </w:rPr>
              <w:t>מסאז׳ וספא ב־29/01</w:t>
            </w:r>
          </w:p>
        </w:tc>
        <w:tc>
          <w:tcPr>
            <w:tcW w:type="dxa" w:w="6917"/>
          </w:tcPr>
          <w:p>
            <w:pPr>
              <w:bidi w:val="1"/>
              <w:spacing w:after="20" w:before="20"/>
              <w:jc w:val="right"/>
            </w:pPr>
            <w:r/>
            <w:r>
              <w:rPr>
                <w:rFonts w:ascii="Arial" w:hAnsi="Arial" w:cs="Arial"/>
                <w:b w:val="0"/>
                <w:i w:val="0"/>
                <w:sz w:val="20"/>
                <w:rtl w:val="1"/>
              </w:rPr>
              <w:t>אינו כלול. הספק אינו מארגן ספא — נזמין בעצמנו.</w:t>
            </w:r>
          </w:p>
        </w:tc>
      </w:tr>
      <w:tr>
        <w:tc>
          <w:tcPr>
            <w:tcW w:type="dxa" w:w="2608"/>
            <w:shd w:val="clear" w:color="auto" w:fill="EEF2F8"/>
          </w:tcPr>
          <w:p>
            <w:pPr>
              <w:bidi w:val="1"/>
              <w:spacing w:after="20" w:before="20"/>
              <w:jc w:val="right"/>
            </w:pPr>
            <w:r/>
            <w:r>
              <w:rPr>
                <w:rFonts w:ascii="Arial" w:hAnsi="Arial" w:cs="Arial"/>
                <w:b/>
                <w:i w:val="0"/>
                <w:sz w:val="20"/>
                <w:rtl w:val="1"/>
              </w:rPr>
              <w:t>בגדים אצל החייט בהוי אן</w:t>
            </w:r>
          </w:p>
        </w:tc>
        <w:tc>
          <w:tcPr>
            <w:tcW w:type="dxa" w:w="6917"/>
            <w:shd w:val="clear" w:color="auto" w:fill="EEF2F8"/>
          </w:tcPr>
          <w:p>
            <w:pPr>
              <w:bidi w:val="1"/>
              <w:spacing w:after="20" w:before="20"/>
              <w:jc w:val="right"/>
            </w:pPr>
            <w:r/>
            <w:r>
              <w:rPr>
                <w:rFonts w:ascii="Arial" w:hAnsi="Arial" w:cs="Arial"/>
                <w:b w:val="0"/>
                <w:i w:val="0"/>
                <w:sz w:val="20"/>
                <w:rtl w:val="1"/>
              </w:rPr>
              <w:t>המדריך ילווה לחנות, התשלום עלינו.</w:t>
            </w:r>
          </w:p>
        </w:tc>
      </w:tr>
      <w:tr>
        <w:tc>
          <w:tcPr>
            <w:tcW w:type="dxa" w:w="2608"/>
          </w:tcPr>
          <w:p>
            <w:pPr>
              <w:bidi w:val="1"/>
              <w:spacing w:after="20" w:before="20"/>
              <w:jc w:val="right"/>
            </w:pPr>
            <w:r/>
            <w:r>
              <w:rPr>
                <w:rFonts w:ascii="Arial" w:hAnsi="Arial" w:cs="Arial"/>
                <w:b/>
                <w:i w:val="0"/>
                <w:sz w:val="20"/>
                <w:rtl w:val="1"/>
              </w:rPr>
              <w:t>הוצאות אישיות</w:t>
            </w:r>
          </w:p>
        </w:tc>
        <w:tc>
          <w:tcPr>
            <w:tcW w:type="dxa" w:w="6917"/>
          </w:tcPr>
          <w:p>
            <w:pPr>
              <w:bidi w:val="1"/>
              <w:spacing w:after="20" w:before="20"/>
              <w:jc w:val="right"/>
            </w:pPr>
            <w:r/>
            <w:r>
              <w:rPr>
                <w:rFonts w:ascii="Arial" w:hAnsi="Arial" w:cs="Arial"/>
                <w:b w:val="0"/>
                <w:i w:val="0"/>
                <w:sz w:val="20"/>
                <w:rtl w:val="1"/>
              </w:rPr>
              <w:t>קניות, טלפון, כביסה, בר.</w:t>
            </w:r>
          </w:p>
        </w:tc>
      </w:tr>
      <w:tr>
        <w:tc>
          <w:tcPr>
            <w:tcW w:type="dxa" w:w="2608"/>
            <w:shd w:val="clear" w:color="auto" w:fill="EEF2F8"/>
          </w:tcPr>
          <w:p>
            <w:pPr>
              <w:bidi w:val="1"/>
              <w:spacing w:after="20" w:before="20"/>
              <w:jc w:val="right"/>
            </w:pPr>
            <w:r/>
            <w:r>
              <w:rPr>
                <w:rFonts w:ascii="Arial" w:hAnsi="Arial" w:cs="Arial"/>
                <w:b/>
                <w:i w:val="0"/>
                <w:sz w:val="20"/>
                <w:rtl w:val="1"/>
              </w:rPr>
              <w:t>טיסות בינלאומיות</w:t>
            </w:r>
          </w:p>
        </w:tc>
        <w:tc>
          <w:tcPr>
            <w:tcW w:type="dxa" w:w="6917"/>
            <w:shd w:val="clear" w:color="auto" w:fill="EEF2F8"/>
          </w:tcPr>
          <w:p>
            <w:pPr>
              <w:bidi w:val="1"/>
              <w:spacing w:after="20" w:before="20"/>
              <w:jc w:val="right"/>
            </w:pPr>
            <w:r/>
            <w:r>
              <w:rPr>
                <w:rFonts w:ascii="Arial" w:hAnsi="Arial" w:cs="Arial"/>
                <w:b w:val="0"/>
                <w:i w:val="0"/>
                <w:sz w:val="20"/>
                <w:u w:val="single"/>
                <w:rtl w:val="1"/>
              </w:rPr>
              <w:t>מכורטסות על ידינו, ואינן חלק מההסכם.</w:t>
            </w:r>
            <w:r>
              <w:rPr>
                <w:rFonts w:ascii="Arial" w:hAnsi="Arial" w:cs="Arial"/>
                <w:b w:val="0"/>
                <w:i w:val="0"/>
                <w:sz w:val="20"/>
                <w:rtl w:val="1"/>
              </w:rPr>
              <w:br/>
            </w:r>
            <w:r>
              <w:rPr>
                <w:rFonts w:ascii="Arial" w:hAnsi="Arial" w:cs="Arial"/>
                <w:b w:val="0"/>
                <w:i w:val="0"/>
                <w:sz w:val="20"/>
                <w:u w:val="single"/>
                <w:rtl w:val="1"/>
              </w:rPr>
              <w:t>ישראל ← וייטנאם:</w:t>
            </w:r>
            <w:r>
              <w:rPr>
                <w:rFonts w:ascii="Arial" w:hAnsi="Arial" w:cs="Arial"/>
                <w:b w:val="0"/>
                <w:i w:val="0"/>
                <w:sz w:val="20"/>
                <w:rtl w:val="1"/>
              </w:rPr>
              <w:t xml:space="preserve"> EY594 אתיחאד, תל אביב 14:10 ← אבו דאבי 19:10, 12/01. ואחריה EY432 אתיחאד, אבו דאבי 20:50 ← </w:t>
            </w:r>
            <w:r>
              <w:rPr>
                <w:rFonts w:ascii="Arial" w:hAnsi="Arial" w:cs="Arial"/>
                <w:b w:val="0"/>
                <w:i w:val="0"/>
                <w:sz w:val="20"/>
                <w:u w:val="single"/>
                <w:rtl w:val="1"/>
              </w:rPr>
              <w:t>האנוי 05:55, 13/01</w:t>
            </w:r>
            <w:r>
              <w:rPr>
                <w:rFonts w:ascii="Arial" w:hAnsi="Arial" w:cs="Arial"/>
                <w:b w:val="0"/>
                <w:i w:val="0"/>
                <w:sz w:val="20"/>
                <w:rtl w:val="1"/>
              </w:rPr>
              <w:t>.</w:t>
              <w:br/>
            </w:r>
            <w:r>
              <w:rPr>
                <w:rFonts w:ascii="Arial" w:hAnsi="Arial" w:cs="Arial"/>
                <w:b w:val="0"/>
                <w:i w:val="0"/>
                <w:sz w:val="20"/>
                <w:u w:val="single"/>
                <w:rtl w:val="1"/>
              </w:rPr>
              <w:t>קמבודיה ← ישראל:</w:t>
            </w:r>
            <w:r>
              <w:rPr>
                <w:rFonts w:ascii="Arial" w:hAnsi="Arial" w:cs="Arial"/>
                <w:b w:val="0"/>
                <w:i w:val="0"/>
                <w:sz w:val="20"/>
                <w:rtl w:val="1"/>
              </w:rPr>
              <w:t xml:space="preserve"> PG908 בנגקוק אירוויז, </w:t>
            </w:r>
            <w:r>
              <w:rPr>
                <w:rFonts w:ascii="Arial" w:hAnsi="Arial" w:cs="Arial"/>
                <w:b w:val="0"/>
                <w:i w:val="0"/>
                <w:sz w:val="20"/>
                <w:u w:val="single"/>
                <w:rtl w:val="1"/>
              </w:rPr>
              <w:t>סיאם ריפ 19:25</w:t>
            </w:r>
            <w:r>
              <w:rPr>
                <w:rFonts w:ascii="Arial" w:hAnsi="Arial" w:cs="Arial"/>
                <w:b w:val="0"/>
                <w:i w:val="0"/>
                <w:sz w:val="20"/>
                <w:rtl w:val="1"/>
              </w:rPr>
              <w:t xml:space="preserve"> ← בנגקוק 20:50, 29/01. אחריה EK385 אמירייטס, בנגקוק 01:05 ← דובאי 04:55, 30/01. ואחריה EK2369 אמירייטס, דובאי 07:15 ← תל אביב 09:10, 30/01.</w:t>
            </w:r>
          </w:p>
        </w:tc>
      </w:tr>
    </w:tbl>
    <w:p>
      <w:pPr>
        <w:spacing w:after="40"/>
      </w:pPr>
    </w:p>
    <w:p>
      <w:pPr>
        <w:bidi w:val="1"/>
        <w:spacing w:after="120" w:before="280" w:line="276" w:lineRule="auto"/>
        <w:jc w:val="right"/>
      </w:pPr>
      <w:r>
        <w:rPr>
          <w:rFonts w:ascii="Arial" w:hAnsi="Arial" w:cs="Arial"/>
          <w:b/>
          <w:i w:val="0"/>
          <w:color w:val="1F3B63"/>
          <w:sz w:val="32"/>
          <w:rtl w:val="1"/>
        </w:rPr>
        <w:t>4. התחייבויות תפעוליות</w:t>
      </w:r>
    </w:p>
    <w:p>
      <w:pPr>
        <w:pStyle w:val="ListBullet"/>
        <w:bidi w:val="1"/>
        <w:spacing w:after="40" w:line="276" w:lineRule="auto"/>
        <w:ind w:left="0" w:right="340"/>
        <w:jc w:val="right"/>
      </w:pPr>
      <w:r>
        <w:rPr>
          <w:rFonts w:ascii="Arial" w:hAnsi="Arial" w:cs="Arial"/>
          <w:b w:val="0"/>
          <w:i w:val="0"/>
          <w:sz w:val="22"/>
          <w:u w:val="single"/>
          <w:rtl w:val="1"/>
        </w:rPr>
        <w:t>שבע היציאות המוקדמות מחייבות</w:t>
      </w:r>
      <w:r>
        <w:rPr>
          <w:rFonts w:ascii="Arial" w:hAnsi="Arial" w:cs="Arial"/>
          <w:b w:val="0"/>
          <w:i w:val="0"/>
          <w:sz w:val="22"/>
          <w:rtl w:val="1"/>
        </w:rPr>
        <w:t>, והספק אישר שיעביר את הטבלה למדריך: 16/01 ב־05:30 · 17/01 ב־06:00 · 19/01 ב־06:15 · 21/01 ב־06:30 · 22/01 ב־05:00 · 26/01 ב־05:30 · 28/01 ב־04:45.</w:t>
      </w:r>
    </w:p>
    <w:p>
      <w:pPr>
        <w:pStyle w:val="ListBullet"/>
        <w:bidi w:val="1"/>
        <w:spacing w:after="40" w:line="276" w:lineRule="auto"/>
        <w:ind w:left="0" w:right="340"/>
        <w:jc w:val="right"/>
      </w:pPr>
      <w:r>
        <w:rPr>
          <w:rFonts w:ascii="Arial" w:hAnsi="Arial" w:cs="Arial"/>
          <w:b w:val="0"/>
          <w:i w:val="0"/>
          <w:sz w:val="22"/>
          <w:u w:val="single"/>
          <w:rtl w:val="1"/>
        </w:rPr>
        <w:t>הכול פרטי.</w:t>
      </w:r>
      <w:r>
        <w:rPr>
          <w:rFonts w:ascii="Arial" w:hAnsi="Arial" w:cs="Arial"/>
          <w:b w:val="0"/>
          <w:i w:val="0"/>
          <w:sz w:val="22"/>
          <w:rtl w:val="1"/>
        </w:rPr>
        <w:t xml:space="preserve"> הספק אישר: ואן פרטי לכל אורך הטיול, בלי קטעים קבוצתיים. הספינה בלאן הא היא הרכיב המשותף היחיד.</w:t>
      </w:r>
    </w:p>
    <w:p>
      <w:pPr>
        <w:pStyle w:val="ListBullet"/>
        <w:bidi w:val="1"/>
        <w:spacing w:after="40" w:line="276" w:lineRule="auto"/>
        <w:ind w:left="0" w:right="340"/>
        <w:jc w:val="right"/>
      </w:pPr>
      <w:r>
        <w:rPr>
          <w:rFonts w:ascii="Arial" w:hAnsi="Arial" w:cs="Arial"/>
          <w:b w:val="0"/>
          <w:i w:val="0"/>
          <w:sz w:val="22"/>
          <w:u w:val="single"/>
          <w:rtl w:val="1"/>
        </w:rPr>
        <w:t>נהג בלבד, בלי מדריך:</w:t>
      </w:r>
      <w:r>
        <w:rPr>
          <w:rFonts w:ascii="Arial" w:hAnsi="Arial" w:cs="Arial"/>
          <w:b w:val="0"/>
          <w:i w:val="0"/>
          <w:sz w:val="22"/>
          <w:rtl w:val="1"/>
        </w:rPr>
        <w:t xml:space="preserve"> השייט בלאן הא (לספינה מדריך משלה) והעברות השדה.</w:t>
      </w:r>
    </w:p>
    <w:p>
      <w:pPr>
        <w:pStyle w:val="ListBullet"/>
        <w:bidi w:val="1"/>
        <w:spacing w:after="40" w:line="276" w:lineRule="auto"/>
        <w:ind w:left="0" w:right="340"/>
        <w:jc w:val="right"/>
      </w:pPr>
      <w:r>
        <w:rPr>
          <w:rFonts w:ascii="Arial" w:hAnsi="Arial" w:cs="Arial"/>
          <w:b w:val="0"/>
          <w:i w:val="0"/>
          <w:sz w:val="22"/>
          <w:u w:val="single"/>
          <w:rtl w:val="1"/>
        </w:rPr>
        <w:t>הספינה:</w:t>
      </w:r>
      <w:r>
        <w:rPr>
          <w:rFonts w:ascii="Arial" w:hAnsi="Arial" w:cs="Arial"/>
          <w:b w:val="0"/>
          <w:i w:val="0"/>
          <w:sz w:val="22"/>
          <w:rtl w:val="1"/>
        </w:rPr>
        <w:t xml:space="preserve"> Mon Cheri או Rita, באזור הפחות תיירותי של המפרץ, תא עם מרפסת, קייאקים כלולים. לא מרכז הלונג.</w:t>
      </w:r>
    </w:p>
    <w:p>
      <w:pPr>
        <w:pStyle w:val="ListBullet"/>
        <w:bidi w:val="1"/>
        <w:spacing w:after="40" w:line="276" w:lineRule="auto"/>
        <w:ind w:left="0" w:right="340"/>
        <w:jc w:val="right"/>
      </w:pPr>
      <w:r>
        <w:rPr>
          <w:rFonts w:ascii="Arial" w:hAnsi="Arial" w:cs="Arial"/>
          <w:b w:val="0"/>
          <w:i w:val="0"/>
          <w:sz w:val="22"/>
          <w:u w:val="single"/>
          <w:rtl w:val="1"/>
        </w:rPr>
        <w:t>שוק באק הא מתקיים ביום ראשון</w:t>
      </w:r>
      <w:r>
        <w:rPr>
          <w:rFonts w:ascii="Arial" w:hAnsi="Arial" w:cs="Arial"/>
          <w:b w:val="0"/>
          <w:i w:val="0"/>
          <w:sz w:val="22"/>
          <w:rtl w:val="1"/>
        </w:rPr>
        <w:t xml:space="preserve"> — 17/01 הוא יום ראשון, והמסלול תקף.</w:t>
      </w:r>
    </w:p>
    <w:p>
      <w:pPr>
        <w:pStyle w:val="ListBullet"/>
        <w:bidi w:val="1"/>
        <w:spacing w:after="40" w:line="276" w:lineRule="auto"/>
        <w:ind w:left="0" w:right="340"/>
        <w:jc w:val="right"/>
      </w:pPr>
      <w:r>
        <w:rPr>
          <w:rFonts w:ascii="Arial" w:hAnsi="Arial" w:cs="Arial"/>
          <w:b w:val="0"/>
          <w:i w:val="0"/>
          <w:sz w:val="22"/>
          <w:u w:val="single"/>
          <w:rtl w:val="1"/>
        </w:rPr>
        <w:t>מעבר האי ואן בכביש המעבר ולא במנהרה.</w:t>
      </w:r>
    </w:p>
    <w:p>
      <w:pPr>
        <w:pStyle w:val="ListBullet"/>
        <w:bidi w:val="1"/>
        <w:spacing w:after="40" w:line="276" w:lineRule="auto"/>
        <w:ind w:left="0" w:right="340"/>
        <w:jc w:val="right"/>
      </w:pPr>
      <w:r>
        <w:rPr>
          <w:rFonts w:ascii="Arial" w:hAnsi="Arial" w:cs="Arial"/>
          <w:b w:val="0"/>
          <w:i w:val="0"/>
          <w:sz w:val="22"/>
          <w:u w:val="single"/>
          <w:rtl w:val="1"/>
        </w:rPr>
        <w:t>מנהרות קו צ׳י — הקטע המורחב</w:t>
      </w:r>
      <w:r>
        <w:rPr>
          <w:rFonts w:ascii="Arial" w:hAnsi="Arial" w:cs="Arial"/>
          <w:b w:val="0"/>
          <w:i w:val="0"/>
          <w:sz w:val="22"/>
          <w:rtl w:val="1"/>
        </w:rPr>
        <w:t xml:space="preserve"> ולא הצר.</w:t>
      </w:r>
    </w:p>
    <w:p>
      <w:pPr>
        <w:pStyle w:val="ListBullet"/>
        <w:bidi w:val="1"/>
        <w:spacing w:after="40" w:line="276" w:lineRule="auto"/>
        <w:ind w:left="0" w:right="340"/>
        <w:jc w:val="right"/>
      </w:pPr>
      <w:r>
        <w:rPr>
          <w:rFonts w:ascii="Arial" w:hAnsi="Arial" w:cs="Arial"/>
          <w:b w:val="0"/>
          <w:i w:val="0"/>
          <w:sz w:val="22"/>
          <w:u w:val="single"/>
          <w:rtl w:val="1"/>
        </w:rPr>
        <w:t>לכפרי קים בונג ות׳אן הא בסירה בלבד</w:t>
      </w:r>
      <w:r>
        <w:rPr>
          <w:rFonts w:ascii="Arial" w:hAnsi="Arial" w:cs="Arial"/>
          <w:b w:val="0"/>
          <w:i w:val="0"/>
          <w:sz w:val="22"/>
          <w:rtl w:val="1"/>
        </w:rPr>
        <w:t>, לא ברכב.</w:t>
      </w:r>
    </w:p>
    <w:p>
      <w:pPr>
        <w:pStyle w:val="ListBullet"/>
        <w:bidi w:val="1"/>
        <w:spacing w:after="40" w:line="276" w:lineRule="auto"/>
        <w:ind w:left="0" w:right="340"/>
        <w:jc w:val="right"/>
      </w:pPr>
      <w:r>
        <w:rPr>
          <w:rFonts w:ascii="Arial" w:hAnsi="Arial" w:cs="Arial"/>
          <w:b w:val="0"/>
          <w:i w:val="0"/>
          <w:sz w:val="22"/>
          <w:u w:val="single"/>
          <w:rtl w:val="1"/>
        </w:rPr>
        <w:t>מיי סון בשעת הפתיחה</w:t>
      </w:r>
      <w:r>
        <w:rPr>
          <w:rFonts w:ascii="Arial" w:hAnsi="Arial" w:cs="Arial"/>
          <w:b w:val="0"/>
          <w:i w:val="0"/>
          <w:sz w:val="22"/>
          <w:rtl w:val="1"/>
        </w:rPr>
        <w:t>, בתיאום מוקדם.</w:t>
      </w:r>
    </w:p>
    <w:p>
      <w:pPr>
        <w:pStyle w:val="ListBullet"/>
        <w:bidi w:val="1"/>
        <w:spacing w:after="40" w:line="276" w:lineRule="auto"/>
        <w:ind w:left="0" w:right="340"/>
        <w:jc w:val="right"/>
      </w:pPr>
      <w:r>
        <w:rPr>
          <w:rFonts w:ascii="Arial" w:hAnsi="Arial" w:cs="Arial"/>
          <w:b w:val="0"/>
          <w:i w:val="0"/>
          <w:sz w:val="22"/>
          <w:u w:val="single"/>
          <w:rtl w:val="1"/>
        </w:rPr>
        <w:t>אנגקור: שני ימים מלאים וכרטיס לשלושה ימים.</w:t>
      </w:r>
    </w:p>
    <w:p>
      <w:pPr>
        <w:pStyle w:val="ListBullet"/>
        <w:bidi w:val="1"/>
        <w:spacing w:after="40" w:line="276" w:lineRule="auto"/>
        <w:ind w:left="0" w:right="340"/>
        <w:jc w:val="right"/>
      </w:pPr>
      <w:r>
        <w:rPr>
          <w:rFonts w:ascii="Arial" w:hAnsi="Arial" w:cs="Arial"/>
          <w:b w:val="0"/>
          <w:i w:val="0"/>
          <w:sz w:val="22"/>
          <w:u w:val="single"/>
          <w:rtl w:val="1"/>
        </w:rPr>
        <w:t>קברי הקיסרים בהואה אינם בתוכנית</w:t>
      </w:r>
      <w:r>
        <w:rPr>
          <w:rFonts w:ascii="Arial" w:hAnsi="Arial" w:cs="Arial"/>
          <w:b w:val="0"/>
          <w:i w:val="0"/>
          <w:sz w:val="22"/>
          <w:rtl w:val="1"/>
        </w:rPr>
        <w:t xml:space="preserve"> — לא טו דוק ולא קאי דין. הספק אישר שעדיף לדלג, בגלל 3–4 השעות להוי אן.</w:t>
      </w:r>
    </w:p>
    <w:p>
      <w:pPr>
        <w:pStyle w:val="ListBullet"/>
        <w:bidi w:val="1"/>
        <w:spacing w:after="40" w:line="276" w:lineRule="auto"/>
        <w:ind w:left="0" w:right="340"/>
        <w:jc w:val="right"/>
      </w:pPr>
      <w:r>
        <w:rPr>
          <w:rFonts w:ascii="Arial" w:hAnsi="Arial" w:cs="Arial"/>
          <w:b w:val="0"/>
          <w:i w:val="0"/>
          <w:sz w:val="22"/>
          <w:u w:val="single"/>
          <w:rtl w:val="1"/>
        </w:rPr>
        <w:t>בחירת המלונות שלנו.</w:t>
      </w:r>
      <w:r>
        <w:rPr>
          <w:rFonts w:ascii="Arial" w:hAnsi="Arial" w:cs="Arial"/>
          <w:b w:val="0"/>
          <w:i w:val="0"/>
          <w:sz w:val="22"/>
          <w:rtl w:val="1"/>
        </w:rPr>
        <w:t xml:space="preserve"> הספק אישר ב־24/08: יציע כמה מלונות בכל עיר, אנחנו נבחר, והוא יזמין לפי בחירתנו. </w:t>
      </w:r>
      <w:r>
        <w:rPr>
          <w:rFonts w:ascii="Arial" w:hAnsi="Arial" w:cs="Arial"/>
          <w:b w:val="0"/>
          <w:i w:val="0"/>
          <w:sz w:val="22"/>
          <w:u w:val="single"/>
          <w:rtl w:val="1"/>
        </w:rPr>
        <w:t>אם הבחירה הראשונה אינה פנויה — הוא יעבור לשנייה.</w:t>
      </w:r>
    </w:p>
    <w:p>
      <w:pPr>
        <w:pStyle w:val="ListBullet"/>
        <w:bidi w:val="1"/>
        <w:spacing w:after="40" w:line="276" w:lineRule="auto"/>
        <w:ind w:left="0" w:right="340"/>
        <w:jc w:val="right"/>
      </w:pPr>
      <w:r>
        <w:rPr>
          <w:rFonts w:ascii="Arial" w:hAnsi="Arial" w:cs="Arial"/>
          <w:b w:val="0"/>
          <w:i w:val="0"/>
          <w:sz w:val="22"/>
          <w:u w:val="single"/>
          <w:rtl w:val="1"/>
        </w:rPr>
        <w:t>הלילה של 12/01 הוא לילה בתשלום ולא צ׳ק־אין מוקדם.</w:t>
      </w:r>
      <w:r>
        <w:rPr>
          <w:rFonts w:ascii="Arial" w:hAnsi="Arial" w:cs="Arial"/>
          <w:b w:val="0"/>
          <w:i w:val="0"/>
          <w:sz w:val="22"/>
          <w:rtl w:val="1"/>
        </w:rPr>
        <w:t xml:space="preserve"> בטבלת הרכיבים סומן "Hotel, Hanoi — כולל הלילה של 12/01 — 2 לילות — Yes".</w:t>
      </w:r>
    </w:p>
    <w:p>
      <w:pPr>
        <w:pStyle w:val="ListBullet"/>
        <w:bidi w:val="1"/>
        <w:spacing w:after="40" w:line="276" w:lineRule="auto"/>
        <w:ind w:left="0" w:right="340"/>
        <w:jc w:val="right"/>
      </w:pPr>
      <w:r>
        <w:rPr>
          <w:rFonts w:ascii="Arial" w:hAnsi="Arial" w:cs="Arial"/>
          <w:b w:val="0"/>
          <w:i w:val="0"/>
          <w:sz w:val="22"/>
          <w:u w:val="single"/>
          <w:rtl w:val="1"/>
        </w:rPr>
        <w:t>הספינה משותפת מסיבה מעשית.</w:t>
      </w:r>
      <w:r>
        <w:rPr>
          <w:rFonts w:ascii="Arial" w:hAnsi="Arial" w:cs="Arial"/>
          <w:b w:val="0"/>
          <w:i w:val="0"/>
          <w:sz w:val="22"/>
          <w:rtl w:val="1"/>
        </w:rPr>
        <w:t xml:space="preserve"> הספק הסביר ב־24/08 שספינה פרטית במפרץ מחייבת תשלום עבור עשרים איש. לכן התא פרטי והספינה משותפת, וזה מקובל עלינו.</w:t>
      </w:r>
    </w:p>
    <w:p>
      <w:pPr>
        <w:pStyle w:val="ListBullet"/>
        <w:bidi w:val="1"/>
        <w:spacing w:after="40" w:line="276" w:lineRule="auto"/>
        <w:ind w:left="0" w:right="340"/>
        <w:jc w:val="right"/>
      </w:pPr>
      <w:r>
        <w:rPr>
          <w:rFonts w:ascii="Arial" w:hAnsi="Arial" w:cs="Arial"/>
          <w:b w:val="0"/>
          <w:i w:val="0"/>
          <w:sz w:val="22"/>
          <w:u w:val="single"/>
          <w:rtl w:val="1"/>
        </w:rPr>
        <w:t>הספק יודיע לנו מיד על כל שינוי</w:t>
      </w:r>
      <w:r>
        <w:rPr>
          <w:rFonts w:ascii="Arial" w:hAnsi="Arial" w:cs="Arial"/>
          <w:b w:val="0"/>
          <w:i w:val="0"/>
          <w:sz w:val="22"/>
          <w:rtl w:val="1"/>
        </w:rPr>
        <w:t xml:space="preserve"> שייתקל בו במהלך העבודה — שעת טיסה, מלון, יום שוק, שעת פתיחה.</w:t>
      </w:r>
    </w:p>
    <w:p>
      <w:pPr>
        <w:bidi w:val="1"/>
        <w:spacing w:after="120" w:before="280" w:line="276" w:lineRule="auto"/>
        <w:jc w:val="right"/>
      </w:pPr>
      <w:r>
        <w:rPr>
          <w:rFonts w:ascii="Arial" w:hAnsi="Arial" w:cs="Arial"/>
          <w:b/>
          <w:i w:val="0"/>
          <w:color w:val="1F3B63"/>
          <w:sz w:val="32"/>
          <w:rtl w:val="1"/>
        </w:rPr>
        <w:t>5. זמנים ותיקונים שהספק מסר</w:t>
      </w:r>
    </w:p>
    <w:tbl>
      <w:tblPr>
        <w:tblStyle w:val="TableGrid"/>
        <w:tblW w:type="auto" w:w="0"/>
        <w:jc w:val="right"/>
        <w:tblLook w:firstColumn="1" w:firstRow="1" w:lastColumn="0" w:lastRow="0" w:noHBand="0" w:noVBand="1" w:val="04A0"/>
        <w:bidiVisual/>
      </w:tblPr>
      <w:tblGrid>
        <w:gridCol w:w="5043"/>
        <w:gridCol w:w="5043"/>
      </w:tblGrid>
      <w:tr>
        <w:tc>
          <w:tcPr>
            <w:tcW w:type="dxa" w:w="2721"/>
            <w:shd w:val="clear" w:color="auto" w:fill="1F3B63"/>
          </w:tcPr>
          <w:p>
            <w:pPr>
              <w:bidi w:val="1"/>
              <w:spacing w:after="20" w:before="20"/>
              <w:jc w:val="right"/>
            </w:pPr>
            <w:r/>
            <w:r>
              <w:rPr>
                <w:rFonts w:ascii="Arial" w:hAnsi="Arial" w:cs="Arial"/>
                <w:b/>
                <w:i w:val="0"/>
                <w:color w:val="FFFFFF"/>
                <w:sz w:val="21"/>
                <w:rtl w:val="1"/>
              </w:rPr>
              <w:t>מה</w:t>
            </w:r>
          </w:p>
        </w:tc>
        <w:tc>
          <w:tcPr>
            <w:tcW w:type="dxa" w:w="6803"/>
            <w:shd w:val="clear" w:color="auto" w:fill="1F3B63"/>
          </w:tcPr>
          <w:p>
            <w:pPr>
              <w:bidi w:val="1"/>
              <w:spacing w:after="20" w:before="20"/>
              <w:jc w:val="right"/>
            </w:pPr>
            <w:r/>
            <w:r>
              <w:rPr>
                <w:rFonts w:ascii="Arial" w:hAnsi="Arial" w:cs="Arial"/>
                <w:b/>
                <w:i w:val="0"/>
                <w:color w:val="FFFFFF"/>
                <w:sz w:val="21"/>
                <w:rtl w:val="1"/>
              </w:rPr>
              <w:t>מה שהספק מסר</w:t>
            </w:r>
          </w:p>
        </w:tc>
      </w:tr>
      <w:tr>
        <w:tc>
          <w:tcPr>
            <w:tcW w:type="dxa" w:w="2721"/>
            <w:shd w:val="clear" w:color="auto" w:fill="EEF2F8"/>
          </w:tcPr>
          <w:p>
            <w:pPr>
              <w:bidi w:val="1"/>
              <w:spacing w:after="20" w:before="20"/>
              <w:jc w:val="right"/>
            </w:pPr>
            <w:r/>
            <w:r>
              <w:rPr>
                <w:rFonts w:ascii="Arial" w:hAnsi="Arial" w:cs="Arial"/>
                <w:b/>
                <w:i w:val="0"/>
                <w:sz w:val="20"/>
                <w:rtl w:val="1"/>
              </w:rPr>
              <w:t>טיסה האנוי ← הואה, 19/01</w:t>
            </w:r>
          </w:p>
        </w:tc>
        <w:tc>
          <w:tcPr>
            <w:tcW w:type="dxa" w:w="6803"/>
            <w:shd w:val="clear" w:color="auto" w:fill="EEF2F8"/>
          </w:tcPr>
          <w:p>
            <w:pPr>
              <w:bidi w:val="1"/>
              <w:spacing w:after="20" w:before="20"/>
              <w:jc w:val="right"/>
            </w:pPr>
            <w:r/>
            <w:r>
              <w:rPr>
                <w:rFonts w:ascii="Arial" w:hAnsi="Arial" w:cs="Arial"/>
                <w:b w:val="0"/>
                <w:i w:val="0"/>
                <w:sz w:val="20"/>
                <w:rtl w:val="1"/>
              </w:rPr>
              <w:t xml:space="preserve">ירידה מהספינה 11:30–11:45, ו־2.5–3 שעות לשדה האנוי. הטיסות: 16:30, 19:05, 19:55. </w:t>
            </w:r>
            <w:r>
              <w:rPr>
                <w:rFonts w:ascii="Arial" w:hAnsi="Arial" w:cs="Arial"/>
                <w:b w:val="0"/>
                <w:i w:val="0"/>
                <w:sz w:val="20"/>
                <w:u w:val="single"/>
                <w:rtl w:val="1"/>
              </w:rPr>
              <w:t>נבחרה 16:30</w:t>
            </w:r>
            <w:r>
              <w:rPr>
                <w:rFonts w:ascii="Arial" w:hAnsi="Arial" w:cs="Arial"/>
                <w:b w:val="0"/>
                <w:i w:val="0"/>
                <w:sz w:val="20"/>
                <w:rtl w:val="1"/>
              </w:rPr>
              <w:t xml:space="preserve"> — הגעה למלון בהואה בסביבות 18:25.</w:t>
            </w:r>
          </w:p>
        </w:tc>
      </w:tr>
      <w:tr>
        <w:tc>
          <w:tcPr>
            <w:tcW w:type="dxa" w:w="2721"/>
          </w:tcPr>
          <w:p>
            <w:pPr>
              <w:bidi w:val="1"/>
              <w:spacing w:after="20" w:before="20"/>
              <w:jc w:val="right"/>
            </w:pPr>
            <w:r/>
            <w:r>
              <w:rPr>
                <w:rFonts w:ascii="Arial" w:hAnsi="Arial" w:cs="Arial"/>
                <w:b/>
                <w:i w:val="0"/>
                <w:sz w:val="20"/>
                <w:rtl w:val="1"/>
              </w:rPr>
              <w:t>טיסה סייגון ← סיאם ריפ, 26/01</w:t>
            </w:r>
          </w:p>
        </w:tc>
        <w:tc>
          <w:tcPr>
            <w:tcW w:type="dxa" w:w="6803"/>
          </w:tcPr>
          <w:p>
            <w:pPr>
              <w:bidi w:val="1"/>
              <w:spacing w:after="20" w:before="20"/>
              <w:jc w:val="right"/>
            </w:pPr>
            <w:r/>
            <w:r>
              <w:rPr>
                <w:rFonts w:ascii="Arial" w:hAnsi="Arial" w:cs="Arial"/>
                <w:b w:val="0"/>
                <w:i w:val="0"/>
                <w:sz w:val="20"/>
                <w:rtl w:val="1"/>
              </w:rPr>
              <w:t xml:space="preserve">הטיסות: 13:00, 17:30, 19:25. ה־13:00 אינה אפשרית — טיסה בינלאומית דורשת 2.5–3 שעות צ׳ק־אין. </w:t>
            </w:r>
            <w:r>
              <w:rPr>
                <w:rFonts w:ascii="Arial" w:hAnsi="Arial" w:cs="Arial"/>
                <w:b w:val="0"/>
                <w:i w:val="0"/>
                <w:sz w:val="20"/>
                <w:u w:val="single"/>
                <w:rtl w:val="1"/>
              </w:rPr>
              <w:t>נבחרה 17:30</w:t>
            </w:r>
            <w:r>
              <w:rPr>
                <w:rFonts w:ascii="Arial" w:hAnsi="Arial" w:cs="Arial"/>
                <w:b w:val="0"/>
                <w:i w:val="0"/>
                <w:sz w:val="20"/>
                <w:rtl w:val="1"/>
              </w:rPr>
              <w:t xml:space="preserve"> — נחיתה 18:50, מלון בסביבות 19:45.</w:t>
            </w:r>
          </w:p>
        </w:tc>
      </w:tr>
      <w:tr>
        <w:tc>
          <w:tcPr>
            <w:tcW w:type="dxa" w:w="2721"/>
            <w:shd w:val="clear" w:color="auto" w:fill="EEF2F8"/>
          </w:tcPr>
          <w:p>
            <w:pPr>
              <w:bidi w:val="1"/>
              <w:spacing w:after="20" w:before="20"/>
              <w:jc w:val="right"/>
            </w:pPr>
            <w:r/>
            <w:r>
              <w:rPr>
                <w:rFonts w:ascii="Arial" w:hAnsi="Arial" w:cs="Arial"/>
                <w:b/>
                <w:i w:val="0"/>
                <w:sz w:val="20"/>
                <w:rtl w:val="1"/>
              </w:rPr>
              <w:t>יציאה מהמלון בסיאם ריפ, 29/01</w:t>
            </w:r>
          </w:p>
        </w:tc>
        <w:tc>
          <w:tcPr>
            <w:tcW w:type="dxa" w:w="6803"/>
            <w:shd w:val="clear" w:color="auto" w:fill="EEF2F8"/>
          </w:tcPr>
          <w:p>
            <w:pPr>
              <w:bidi w:val="1"/>
              <w:spacing w:after="20" w:before="20"/>
              <w:jc w:val="right"/>
            </w:pPr>
            <w:r/>
            <w:r>
              <w:rPr>
                <w:rFonts w:ascii="Arial" w:hAnsi="Arial" w:cs="Arial"/>
                <w:b w:val="0"/>
                <w:i w:val="0"/>
                <w:sz w:val="20"/>
                <w:u w:val="single"/>
                <w:rtl w:val="1"/>
              </w:rPr>
              <w:t>15:30 ולא 17:00.</w:t>
            </w:r>
            <w:r>
              <w:rPr>
                <w:rFonts w:ascii="Arial" w:hAnsi="Arial" w:cs="Arial"/>
                <w:b w:val="0"/>
                <w:i w:val="0"/>
                <w:sz w:val="20"/>
                <w:rtl w:val="1"/>
              </w:rPr>
              <w:t xml:space="preserve"> הטיסה ב־19:25 היא בינלאומית ודורשת שלוש שעות, והשדה 45–50 דקות מהעיר.</w:t>
            </w:r>
          </w:p>
        </w:tc>
      </w:tr>
      <w:tr>
        <w:tc>
          <w:tcPr>
            <w:tcW w:type="dxa" w:w="2721"/>
          </w:tcPr>
          <w:p>
            <w:pPr>
              <w:bidi w:val="1"/>
              <w:spacing w:after="20" w:before="20"/>
              <w:jc w:val="right"/>
            </w:pPr>
            <w:r/>
            <w:r>
              <w:rPr>
                <w:rFonts w:ascii="Arial" w:hAnsi="Arial" w:cs="Arial"/>
                <w:b/>
                <w:i w:val="0"/>
                <w:sz w:val="20"/>
                <w:rtl w:val="1"/>
              </w:rPr>
              <w:t>טראנג אן, 14/01</w:t>
            </w:r>
          </w:p>
        </w:tc>
        <w:tc>
          <w:tcPr>
            <w:tcW w:type="dxa" w:w="6803"/>
          </w:tcPr>
          <w:p>
            <w:pPr>
              <w:bidi w:val="1"/>
              <w:spacing w:after="20" w:before="20"/>
              <w:jc w:val="right"/>
            </w:pPr>
            <w:r/>
            <w:r>
              <w:rPr>
                <w:rFonts w:ascii="Arial" w:hAnsi="Arial" w:cs="Arial"/>
                <w:b w:val="0"/>
                <w:i w:val="0"/>
                <w:sz w:val="20"/>
                <w:u w:val="single"/>
                <w:rtl w:val="1"/>
              </w:rPr>
              <w:t>2.5–3 שעות</w:t>
            </w:r>
            <w:r>
              <w:rPr>
                <w:rFonts w:ascii="Arial" w:hAnsi="Arial" w:cs="Arial"/>
                <w:b w:val="0"/>
                <w:i w:val="0"/>
                <w:sz w:val="20"/>
                <w:rtl w:val="1"/>
              </w:rPr>
              <w:t xml:space="preserve"> ולא שעתיים.</w:t>
            </w:r>
          </w:p>
        </w:tc>
      </w:tr>
      <w:tr>
        <w:tc>
          <w:tcPr>
            <w:tcW w:type="dxa" w:w="2721"/>
            <w:shd w:val="clear" w:color="auto" w:fill="EEF2F8"/>
          </w:tcPr>
          <w:p>
            <w:pPr>
              <w:bidi w:val="1"/>
              <w:spacing w:after="20" w:before="20"/>
              <w:jc w:val="right"/>
            </w:pPr>
            <w:r/>
            <w:r>
              <w:rPr>
                <w:rFonts w:ascii="Arial" w:hAnsi="Arial" w:cs="Arial"/>
                <w:b/>
                <w:i w:val="0"/>
                <w:sz w:val="20"/>
                <w:rtl w:val="1"/>
              </w:rPr>
              <w:t>הואה ← הוי אן, 20/01</w:t>
            </w:r>
          </w:p>
        </w:tc>
        <w:tc>
          <w:tcPr>
            <w:tcW w:type="dxa" w:w="6803"/>
            <w:shd w:val="clear" w:color="auto" w:fill="EEF2F8"/>
          </w:tcPr>
          <w:p>
            <w:pPr>
              <w:bidi w:val="1"/>
              <w:spacing w:after="20" w:before="20"/>
              <w:jc w:val="right"/>
            </w:pPr>
            <w:r/>
            <w:r>
              <w:rPr>
                <w:rFonts w:ascii="Arial" w:hAnsi="Arial" w:cs="Arial"/>
                <w:b w:val="0"/>
                <w:i w:val="0"/>
                <w:sz w:val="20"/>
                <w:u w:val="single"/>
                <w:rtl w:val="1"/>
              </w:rPr>
              <w:t>3 שעות בלי עצירות, 3–4 שעות עם עצירה בלאנג קו ובמעבר האי ואן.</w:t>
            </w:r>
          </w:p>
        </w:tc>
      </w:tr>
      <w:tr>
        <w:tc>
          <w:tcPr>
            <w:tcW w:type="dxa" w:w="2721"/>
          </w:tcPr>
          <w:p>
            <w:pPr>
              <w:bidi w:val="1"/>
              <w:spacing w:after="20" w:before="20"/>
              <w:jc w:val="right"/>
            </w:pPr>
            <w:r/>
            <w:r>
              <w:rPr>
                <w:rFonts w:ascii="Arial" w:hAnsi="Arial" w:cs="Arial"/>
                <w:b/>
                <w:i w:val="0"/>
                <w:sz w:val="20"/>
                <w:rtl w:val="1"/>
              </w:rPr>
              <w:t>קרקס פארה</w:t>
            </w:r>
          </w:p>
        </w:tc>
        <w:tc>
          <w:tcPr>
            <w:tcW w:type="dxa" w:w="6803"/>
          </w:tcPr>
          <w:p>
            <w:pPr>
              <w:bidi w:val="1"/>
              <w:spacing w:after="20" w:before="20"/>
              <w:jc w:val="right"/>
            </w:pPr>
            <w:r/>
            <w:r>
              <w:rPr>
                <w:rFonts w:ascii="Arial" w:hAnsi="Arial" w:cs="Arial"/>
                <w:b w:val="0"/>
                <w:i w:val="0"/>
                <w:sz w:val="20"/>
                <w:rtl w:val="1"/>
              </w:rPr>
              <w:t xml:space="preserve">הופעה אחת בלילה ב־19:30. </w:t>
            </w:r>
            <w:r>
              <w:rPr>
                <w:rFonts w:ascii="Arial" w:hAnsi="Arial" w:cs="Arial"/>
                <w:b w:val="0"/>
                <w:i w:val="0"/>
                <w:sz w:val="20"/>
                <w:u w:val="single"/>
                <w:rtl w:val="1"/>
              </w:rPr>
              <w:t>אינו אפשרי ב־26/01</w:t>
            </w:r>
            <w:r>
              <w:rPr>
                <w:rFonts w:ascii="Arial" w:hAnsi="Arial" w:cs="Arial"/>
                <w:b w:val="0"/>
                <w:i w:val="0"/>
                <w:sz w:val="20"/>
                <w:rtl w:val="1"/>
              </w:rPr>
              <w:t xml:space="preserve"> — נחיתה 18:50. עובר ל־27 או 28/01, בהמתנה להצעת הספק.</w:t>
            </w:r>
          </w:p>
        </w:tc>
      </w:tr>
      <w:tr>
        <w:tc>
          <w:tcPr>
            <w:tcW w:type="dxa" w:w="2721"/>
            <w:shd w:val="clear" w:color="auto" w:fill="EEF2F8"/>
          </w:tcPr>
          <w:p>
            <w:pPr>
              <w:bidi w:val="1"/>
              <w:spacing w:after="20" w:before="20"/>
              <w:jc w:val="right"/>
            </w:pPr>
            <w:r/>
            <w:r>
              <w:rPr>
                <w:rFonts w:ascii="Arial" w:hAnsi="Arial" w:cs="Arial"/>
                <w:b/>
                <w:i w:val="0"/>
                <w:sz w:val="20"/>
                <w:rtl w:val="1"/>
              </w:rPr>
              <w:t>הארוחה הקיסרית בהואה</w:t>
            </w:r>
          </w:p>
        </w:tc>
        <w:tc>
          <w:tcPr>
            <w:tcW w:type="dxa" w:w="6803"/>
            <w:shd w:val="clear" w:color="auto" w:fill="EEF2F8"/>
          </w:tcPr>
          <w:p>
            <w:pPr>
              <w:bidi w:val="1"/>
              <w:spacing w:after="20" w:before="20"/>
              <w:jc w:val="right"/>
            </w:pPr>
            <w:r/>
            <w:r>
              <w:rPr>
                <w:rFonts w:ascii="Arial" w:hAnsi="Arial" w:cs="Arial"/>
                <w:b w:val="0"/>
                <w:i w:val="0"/>
                <w:sz w:val="20"/>
                <w:rtl w:val="1"/>
              </w:rPr>
              <w:t>במסעדה בעיר.</w:t>
            </w:r>
          </w:p>
        </w:tc>
      </w:tr>
      <w:tr>
        <w:tc>
          <w:tcPr>
            <w:tcW w:type="dxa" w:w="2721"/>
          </w:tcPr>
          <w:p>
            <w:pPr>
              <w:bidi w:val="1"/>
              <w:spacing w:after="20" w:before="20"/>
              <w:jc w:val="right"/>
            </w:pPr>
            <w:r/>
            <w:r>
              <w:rPr>
                <w:rFonts w:ascii="Arial" w:hAnsi="Arial" w:cs="Arial"/>
                <w:b/>
                <w:i w:val="0"/>
                <w:sz w:val="20"/>
                <w:rtl w:val="1"/>
              </w:rPr>
              <w:t>צהריים בדלתת המקונג</w:t>
            </w:r>
          </w:p>
        </w:tc>
        <w:tc>
          <w:tcPr>
            <w:tcW w:type="dxa" w:w="6803"/>
          </w:tcPr>
          <w:p>
            <w:pPr>
              <w:bidi w:val="1"/>
              <w:spacing w:after="20" w:before="20"/>
              <w:jc w:val="right"/>
            </w:pPr>
            <w:r/>
            <w:r>
              <w:rPr>
                <w:rFonts w:ascii="Arial" w:hAnsi="Arial" w:cs="Arial"/>
                <w:b w:val="0"/>
                <w:i w:val="0"/>
                <w:sz w:val="20"/>
                <w:rtl w:val="1"/>
              </w:rPr>
              <w:t>בבית מקומי, לא בווילה בגן.</w:t>
            </w:r>
          </w:p>
        </w:tc>
      </w:tr>
    </w:tbl>
    <w:p>
      <w:pPr>
        <w:spacing w:after="40"/>
      </w:pPr>
    </w:p>
    <w:p>
      <w:pPr>
        <w:bidi w:val="1"/>
        <w:spacing w:after="120" w:before="280" w:line="276" w:lineRule="auto"/>
        <w:jc w:val="right"/>
      </w:pPr>
      <w:r>
        <w:rPr>
          <w:rFonts w:ascii="Arial" w:hAnsi="Arial" w:cs="Arial"/>
          <w:b/>
          <w:i w:val="0"/>
          <w:color w:val="1F3B63"/>
          <w:sz w:val="32"/>
          <w:rtl w:val="1"/>
        </w:rPr>
        <w:t>6. מה שטרם נמסר</w:t>
      </w:r>
    </w:p>
    <w:p>
      <w:pPr>
        <w:pStyle w:val="ListBullet"/>
        <w:bidi w:val="1"/>
        <w:spacing w:after="40" w:line="276" w:lineRule="auto"/>
        <w:ind w:left="0" w:right="340"/>
        <w:jc w:val="right"/>
      </w:pPr>
      <w:r>
        <w:rPr>
          <w:rFonts w:ascii="Arial" w:hAnsi="Arial" w:cs="Arial"/>
          <w:b w:val="0"/>
          <w:i w:val="0"/>
          <w:sz w:val="22"/>
          <w:u w:val="single"/>
          <w:rtl w:val="1"/>
        </w:rPr>
        <w:t>תנאי התשלום.</w:t>
      </w:r>
      <w:r>
        <w:rPr>
          <w:rFonts w:ascii="Arial" w:hAnsi="Arial" w:cs="Arial"/>
          <w:b w:val="0"/>
          <w:i w:val="0"/>
          <w:sz w:val="22"/>
          <w:rtl w:val="1"/>
        </w:rPr>
        <w:t xml:space="preserve"> הספק ביקש מקדמה של 2,000 דולר בהעברה בנקאית, ואת היתרה במזומן דולרי בהגעה להאנוי. פרטי הבנק בתהליך מסירה. זה הפרט האחרון שנותר לסגור.</w:t>
      </w:r>
    </w:p>
    <w:p>
      <w:pPr>
        <w:pStyle w:val="ListBullet"/>
        <w:bidi w:val="1"/>
        <w:spacing w:after="40" w:line="276" w:lineRule="auto"/>
        <w:ind w:left="0" w:right="340"/>
        <w:jc w:val="right"/>
      </w:pPr>
      <w:r>
        <w:rPr>
          <w:rFonts w:ascii="Arial" w:hAnsi="Arial" w:cs="Arial"/>
          <w:b w:val="0"/>
          <w:i w:val="0"/>
          <w:sz w:val="22"/>
          <w:u w:val="single"/>
          <w:rtl w:val="1"/>
        </w:rPr>
        <w:t>סאפה.</w:t>
      </w:r>
      <w:r>
        <w:rPr>
          <w:rFonts w:ascii="Arial" w:hAnsi="Arial" w:cs="Arial"/>
          <w:b w:val="0"/>
          <w:i w:val="0"/>
          <w:sz w:val="22"/>
          <w:rtl w:val="1"/>
        </w:rPr>
        <w:t xml:space="preserve"> הספק העיר פעמיים שיום ראשון בבאק הא לא מסתדר בנוחות עם יומיים ולילה אחד, ומעולם לא מסר הצעה קונקרטית משלו. המסלול נשאר כפי שהוא, ונבקש את הערתו אם הוא רואה בעיה בשטח.</w:t>
      </w:r>
    </w:p>
    <w:p>
      <w:pPr>
        <w:bidi w:val="1"/>
        <w:spacing w:after="120"/>
        <w:jc w:val="right"/>
        <w:pBdr>
          <w:bottom w:val="single" w:sz="8" w:space="1" w:color="1F3B63"/>
        </w:pBdr>
      </w:pPr>
    </w:p>
    <w:p>
      <w:pPr>
        <w:bidi w:val="1"/>
        <w:spacing w:after="80" w:before="0" w:line="276" w:lineRule="auto"/>
        <w:jc w:val="right"/>
      </w:pPr>
      <w:r>
        <w:rPr>
          <w:rFonts w:ascii="Arial" w:hAnsi="Arial" w:cs="Arial"/>
          <w:b w:val="0"/>
          <w:i w:val="0"/>
          <w:sz w:val="22"/>
          <w:rtl w:val="1"/>
        </w:rPr>
        <w:t xml:space="preserve">המסמך הזה מרכז את מה שהוסכם עד כה, כפי שהספק סימן בטבלת הרכיבים ב־28/08/2026 ובתשובותיו שקדמו לה. </w:t>
      </w:r>
      <w:r>
        <w:rPr>
          <w:rFonts w:ascii="Arial" w:hAnsi="Arial" w:cs="Arial"/>
          <w:b w:val="0"/>
          <w:i w:val="0"/>
          <w:sz w:val="22"/>
          <w:u w:val="single"/>
          <w:rtl w:val="1"/>
        </w:rPr>
        <w:t>נבקש מהספק לאשר אותו, או לתקן כל דבר שאינו נכון</w:t>
      </w:r>
      <w:r>
        <w:rPr>
          <w:rFonts w:ascii="Arial" w:hAnsi="Arial" w:cs="Arial"/>
          <w:b w:val="0"/>
          <w:i w:val="0"/>
          <w:sz w:val="22"/>
          <w:rtl w:val="1"/>
        </w:rPr>
        <w:t xml:space="preserve"> — והוא ישמש בסיס להזמנה.</w:t>
      </w:r>
    </w:p>
    <w:p>
      <w:pPr>
        <w:bidi w:val="1"/>
        <w:spacing w:after="80" w:before="0" w:line="276" w:lineRule="auto"/>
        <w:jc w:val="right"/>
      </w:pPr>
      <w:r>
        <w:rPr>
          <w:rFonts w:ascii="Arial" w:hAnsi="Arial" w:cs="Arial"/>
          <w:b w:val="0"/>
          <w:i w:val="0"/>
          <w:sz w:val="22"/>
          <w:rtl w:val="1"/>
        </w:rPr>
        <w:t>עם קבלת תנאי התשלום ותשלום המקדמה, המסמך הזה והמסלול שב־Vietnam-RFQ-17-Days יהוו יחד את ההסכם בינינו.</w:t>
      </w:r>
    </w:p>
    <w:p>
      <w:pPr>
        <w:bidi w:val="1"/>
        <w:spacing w:after="80" w:before="0" w:line="276" w:lineRule="auto"/>
        <w:jc w:val="right"/>
      </w:pPr>
    </w:p>
    <w:p>
      <w:pPr>
        <w:bidi w:val="1"/>
        <w:spacing w:after="80" w:before="0" w:line="276" w:lineRule="auto"/>
        <w:jc w:val="right"/>
      </w:pPr>
      <w:r>
        <w:rPr>
          <w:rFonts w:ascii="Arial" w:hAnsi="Arial" w:cs="Arial"/>
          <w:b w:val="0"/>
          <w:i w:val="0"/>
          <w:sz w:val="21"/>
          <w:rtl w:val="1"/>
        </w:rPr>
        <w:t>בברכה,</w:t>
      </w:r>
    </w:p>
    <w:p>
      <w:pPr>
        <w:bidi w:val="1"/>
        <w:spacing w:after="80" w:before="0" w:line="276" w:lineRule="auto"/>
        <w:jc w:val="right"/>
      </w:pPr>
      <w:r>
        <w:rPr>
          <w:rFonts w:ascii="Arial" w:hAnsi="Arial" w:cs="Arial"/>
          <w:b w:val="0"/>
          <w:i w:val="0"/>
          <w:sz w:val="21"/>
          <w:rtl w:val="1"/>
        </w:rPr>
        <w:t>שמעון פרץ</w:t>
      </w:r>
    </w:p>
    <w:p>
      <w:pPr>
        <w:bidi w:val="1"/>
        <w:spacing w:after="80" w:before="0" w:line="276" w:lineRule="auto"/>
        <w:jc w:val="right"/>
      </w:pPr>
      <w:r>
        <w:rPr>
          <w:rFonts w:ascii="Arial" w:hAnsi="Arial" w:cs="Arial"/>
          <w:b w:val="0"/>
          <w:i w:val="0"/>
          <w:sz w:val="21"/>
          <w:rtl w:val="1"/>
        </w:rPr>
        <w:t>shimon@ps-eng.com  ·  054-5341660</w:t>
      </w:r>
    </w:p>
    <w:sectPr w:rsidR="00FC693F" w:rsidRPr="0006063C" w:rsidSect="00034616">
      <w:pgSz w:w="12240" w:h="15840"/>
      <w:pgMar w:top="1077" w:right="1077" w:bottom="1077" w:left="107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tl w:val="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